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eastAsia="宋体"/>
        </w:rPr>
      </w:pPr>
      <w:r>
        <w:rPr>
          <w:sz w:val="24"/>
        </w:rPr>
        <w:drawing>
          <wp:anchor distT="0" distB="0" distL="114935" distR="114935" simplePos="0" relativeHeight="251661312" behindDoc="1" locked="0" layoutInCell="1" allowOverlap="1">
            <wp:simplePos x="0" y="0"/>
            <wp:positionH relativeFrom="column">
              <wp:posOffset>-1211580</wp:posOffset>
            </wp:positionH>
            <wp:positionV relativeFrom="paragraph">
              <wp:posOffset>-988695</wp:posOffset>
            </wp:positionV>
            <wp:extent cx="7662545" cy="10855960"/>
            <wp:effectExtent l="0" t="0" r="14605" b="2540"/>
            <wp:wrapNone/>
            <wp:docPr id="38" name="图片 38" descr="蓝黑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蓝黑封面"/>
                    <pic:cNvPicPr>
                      <a:picLocks noChangeAspect="1"/>
                    </pic:cNvPicPr>
                  </pic:nvPicPr>
                  <pic:blipFill>
                    <a:blip r:embed="rId13"/>
                    <a:stretch>
                      <a:fillRect/>
                    </a:stretch>
                  </pic:blipFill>
                  <pic:spPr>
                    <a:xfrm>
                      <a:off x="0" y="0"/>
                      <a:ext cx="7662545" cy="10855960"/>
                    </a:xfrm>
                    <a:prstGeom prst="rect">
                      <a:avLst/>
                    </a:prstGeom>
                  </pic:spPr>
                </pic:pic>
              </a:graphicData>
            </a:graphic>
          </wp:anchor>
        </w:drawing>
      </w:r>
    </w:p>
    <w:p>
      <w:pPr>
        <w:sectPr>
          <w:headerReference r:id="rId5" w:type="default"/>
          <w:pgSz w:w="11906" w:h="16838"/>
          <w:pgMar w:top="1531" w:right="1361" w:bottom="1418" w:left="1531" w:header="851" w:footer="992" w:gutter="0"/>
          <w:cols w:space="425" w:num="1"/>
          <w:titlePg/>
          <w:docGrid w:type="lines" w:linePitch="312" w:charSpace="0"/>
        </w:sectPr>
      </w:pPr>
      <w:r>
        <mc:AlternateContent>
          <mc:Choice Requires="wps">
            <w:drawing>
              <wp:anchor distT="0" distB="0" distL="114300" distR="114300" simplePos="0" relativeHeight="251660288" behindDoc="0" locked="0" layoutInCell="1" allowOverlap="1">
                <wp:simplePos x="0" y="0"/>
                <wp:positionH relativeFrom="column">
                  <wp:posOffset>-920115</wp:posOffset>
                </wp:positionH>
                <wp:positionV relativeFrom="paragraph">
                  <wp:posOffset>8870315</wp:posOffset>
                </wp:positionV>
                <wp:extent cx="4060190" cy="603250"/>
                <wp:effectExtent l="0" t="0" r="0" b="0"/>
                <wp:wrapNone/>
                <wp:docPr id="2" name="文本框 13"/>
                <wp:cNvGraphicFramePr/>
                <a:graphic xmlns:a="http://schemas.openxmlformats.org/drawingml/2006/main">
                  <a:graphicData uri="http://schemas.microsoft.com/office/word/2010/wordprocessingShape">
                    <wps:wsp>
                      <wps:cNvSpPr txBox="1"/>
                      <wps:spPr>
                        <a:xfrm>
                          <a:off x="576580" y="9822815"/>
                          <a:ext cx="4060190" cy="603250"/>
                        </a:xfrm>
                        <a:prstGeom prst="rect">
                          <a:avLst/>
                        </a:prstGeom>
                        <a:noFill/>
                        <a:ln>
                          <a:noFill/>
                        </a:ln>
                        <a:effectLst/>
                      </wps:spPr>
                      <wps:txbx>
                        <w:txbxContent>
                          <w:p>
                            <w:pPr>
                              <w:spacing w:line="500" w:lineRule="exact"/>
                              <w:jc w:val="center"/>
                              <w:rPr>
                                <w:rFonts w:hint="eastAsia" w:ascii="宋体" w:hAnsi="宋体" w:eastAsia="宋体" w:cs="宋体"/>
                                <w:b/>
                                <w:bCs/>
                                <w:color w:val="000000" w:themeColor="text1"/>
                                <w:sz w:val="40"/>
                                <w:szCs w:val="40"/>
                                <w:lang w:eastAsia="zh-CN"/>
                                <w14:textFill>
                                  <w14:solidFill>
                                    <w14:schemeClr w14:val="tx1"/>
                                  </w14:solidFill>
                                </w14:textFill>
                              </w:rPr>
                            </w:pPr>
                            <w:r>
                              <w:rPr>
                                <w:rFonts w:hint="eastAsia" w:ascii="宋体" w:hAnsi="宋体" w:eastAsia="宋体" w:cs="宋体"/>
                                <w:b/>
                                <w:bCs/>
                                <w:color w:val="000000" w:themeColor="text1"/>
                                <w:sz w:val="40"/>
                                <w:szCs w:val="40"/>
                                <w:lang w:eastAsia="zh-CN"/>
                                <w14:textFill>
                                  <w14:solidFill>
                                    <w14:schemeClr w14:val="tx1"/>
                                  </w14:solidFill>
                                </w14:textFill>
                              </w:rPr>
                              <w:t>钱江集团温岭正峰动力有限公司</w:t>
                            </w:r>
                          </w:p>
                          <w:p>
                            <w:pPr>
                              <w:rPr>
                                <w:rFonts w:hint="eastAsia" w:ascii="宋体" w:hAnsi="宋体" w:eastAsia="宋体" w:cs="宋体"/>
                                <w:b/>
                                <w:bCs/>
                                <w:color w:val="000000" w:themeColor="text1"/>
                                <w:sz w:val="28"/>
                                <w:szCs w:val="32"/>
                                <w:lang w:eastAsia="zh-CN"/>
                                <w14:textFill>
                                  <w14:solidFill>
                                    <w14:schemeClr w14:val="tx1"/>
                                  </w14:solidFill>
                                </w14:textFill>
                              </w:rPr>
                            </w:pPr>
                          </w:p>
                        </w:txbxContent>
                      </wps:txbx>
                      <wps:bodyPr vert="horz" wrap="square" anchor="t">
                        <a:noAutofit/>
                      </wps:bodyPr>
                    </wps:wsp>
                  </a:graphicData>
                </a:graphic>
              </wp:anchor>
            </w:drawing>
          </mc:Choice>
          <mc:Fallback>
            <w:pict>
              <v:shape id="文本框 13" o:spid="_x0000_s1026" o:spt="202" type="#_x0000_t202" style="position:absolute;left:0pt;margin-left:-72.45pt;margin-top:698.45pt;height:47.5pt;width:319.7pt;z-index:251660288;mso-width-relative:page;mso-height-relative:page;" filled="f" stroked="f" coordsize="21600,21600" o:gfxdata="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HZ9QBPZAAAADgEAAA8A&#10;AAAAAAAAAQAgAAAAIgAAAGRycy9kb3ducmV2LnhtbFBLAQIUABQAAAAIAIdO4kB9eBCD3QEAAJsD&#10;AAAOAAAAAAAAAAEAIAAAACgBAABkcnMvZTJvRG9jLnhtbFBLBQYAAAAABgAGAFkBAAB3BQAAAAA=&#10;">
                <v:fill on="f" focussize="0,0"/>
                <v:stroke on="f"/>
                <v:imagedata o:title=""/>
                <o:lock v:ext="edit" aspectratio="f"/>
                <v:textbox>
                  <w:txbxContent>
                    <w:p>
                      <w:pPr>
                        <w:spacing w:line="500" w:lineRule="exact"/>
                        <w:jc w:val="center"/>
                        <w:rPr>
                          <w:rFonts w:hint="eastAsia" w:ascii="宋体" w:hAnsi="宋体" w:eastAsia="宋体" w:cs="宋体"/>
                          <w:b/>
                          <w:bCs/>
                          <w:color w:val="000000" w:themeColor="text1"/>
                          <w:sz w:val="40"/>
                          <w:szCs w:val="40"/>
                          <w:lang w:eastAsia="zh-CN"/>
                          <w14:textFill>
                            <w14:solidFill>
                              <w14:schemeClr w14:val="tx1"/>
                            </w14:solidFill>
                          </w14:textFill>
                        </w:rPr>
                      </w:pPr>
                      <w:r>
                        <w:rPr>
                          <w:rFonts w:hint="eastAsia" w:ascii="宋体" w:hAnsi="宋体" w:eastAsia="宋体" w:cs="宋体"/>
                          <w:b/>
                          <w:bCs/>
                          <w:color w:val="000000" w:themeColor="text1"/>
                          <w:sz w:val="40"/>
                          <w:szCs w:val="40"/>
                          <w:lang w:eastAsia="zh-CN"/>
                          <w14:textFill>
                            <w14:solidFill>
                              <w14:schemeClr w14:val="tx1"/>
                            </w14:solidFill>
                          </w14:textFill>
                        </w:rPr>
                        <w:t>钱江集团温岭正峰动力有限公司</w:t>
                      </w:r>
                    </w:p>
                    <w:p>
                      <w:pPr>
                        <w:rPr>
                          <w:rFonts w:hint="eastAsia" w:ascii="宋体" w:hAnsi="宋体" w:eastAsia="宋体" w:cs="宋体"/>
                          <w:b/>
                          <w:bCs/>
                          <w:color w:val="000000" w:themeColor="text1"/>
                          <w:sz w:val="28"/>
                          <w:szCs w:val="32"/>
                          <w:lang w:eastAsia="zh-CN"/>
                          <w14:textFill>
                            <w14:solidFill>
                              <w14:schemeClr w14:val="tx1"/>
                            </w14:solidFill>
                          </w14:textFill>
                        </w:rPr>
                      </w:pPr>
                    </w:p>
                  </w:txbxContent>
                </v:textbox>
              </v:shape>
            </w:pict>
          </mc:Fallback>
        </mc:AlternateContent>
      </w:r>
      <w:r>
        <mc:AlternateContent>
          <mc:Choice Requires="wpg">
            <w:drawing>
              <wp:anchor distT="0" distB="0" distL="114300" distR="114300" simplePos="0" relativeHeight="251659264" behindDoc="0" locked="0" layoutInCell="1" allowOverlap="1">
                <wp:simplePos x="0" y="0"/>
                <wp:positionH relativeFrom="column">
                  <wp:posOffset>885825</wp:posOffset>
                </wp:positionH>
                <wp:positionV relativeFrom="paragraph">
                  <wp:posOffset>3041650</wp:posOffset>
                </wp:positionV>
                <wp:extent cx="6611620" cy="3392170"/>
                <wp:effectExtent l="0" t="0" r="0" b="0"/>
                <wp:wrapNone/>
                <wp:docPr id="1" name="组合 75"/>
                <wp:cNvGraphicFramePr/>
                <a:graphic xmlns:a="http://schemas.openxmlformats.org/drawingml/2006/main">
                  <a:graphicData uri="http://schemas.microsoft.com/office/word/2010/wordprocessingGroup">
                    <wpg:wgp>
                      <wpg:cNvGrpSpPr/>
                      <wpg:grpSpPr>
                        <a:xfrm>
                          <a:off x="0" y="0"/>
                          <a:ext cx="6611620" cy="3392170"/>
                          <a:chOff x="13587" y="9509"/>
                          <a:chExt cx="10413" cy="5394"/>
                        </a:xfrm>
                        <a:effectLst/>
                      </wpg:grpSpPr>
                      <wps:wsp>
                        <wps:cNvPr id="26" name="文本框 11"/>
                        <wps:cNvSpPr txBox="1"/>
                        <wps:spPr>
                          <a:xfrm>
                            <a:off x="13587" y="9509"/>
                            <a:ext cx="10413" cy="2827"/>
                          </a:xfrm>
                          <a:prstGeom prst="rect">
                            <a:avLst/>
                          </a:prstGeom>
                          <a:noFill/>
                          <a:ln>
                            <a:noFill/>
                          </a:ln>
                          <a:effectLst/>
                        </wps:spPr>
                        <wps:txbx>
                          <w:txbxContent>
                            <w:p>
                              <w:pPr>
                                <w:rPr>
                                  <w:color w:val="FFFFFF" w:themeColor="background1"/>
                                  <w:sz w:val="24"/>
                                  <w:szCs w:val="32"/>
                                  <w14:textFill>
                                    <w14:solidFill>
                                      <w14:schemeClr w14:val="bg1"/>
                                    </w14:solidFill>
                                  </w14:textFill>
                                </w:rPr>
                              </w:pPr>
                              <w:r>
                                <w:rPr>
                                  <w:rFonts w:hint="eastAsia" w:ascii="微软雅黑" w:hAnsi="微软雅黑" w:eastAsia="微软雅黑" w:cs="微软雅黑"/>
                                  <w:b/>
                                  <w:color w:val="FAB539"/>
                                  <w:kern w:val="24"/>
                                  <w:sz w:val="144"/>
                                  <w:szCs w:val="144"/>
                                  <w:lang w:bidi="ar"/>
                                </w:rPr>
                                <w:t>质量诚信报告</w:t>
                              </w:r>
                            </w:p>
                          </w:txbxContent>
                        </wps:txbx>
                        <wps:bodyPr wrap="square">
                          <a:spAutoFit/>
                        </wps:bodyPr>
                      </wps:wsp>
                      <wps:wsp>
                        <wps:cNvPr id="27" name="文本框 13"/>
                        <wps:cNvSpPr txBox="1"/>
                        <wps:spPr>
                          <a:xfrm>
                            <a:off x="15074" y="12076"/>
                            <a:ext cx="6683" cy="2827"/>
                          </a:xfrm>
                          <a:prstGeom prst="rect">
                            <a:avLst/>
                          </a:prstGeom>
                          <a:noFill/>
                          <a:ln>
                            <a:noFill/>
                          </a:ln>
                          <a:effectLst/>
                        </wps:spPr>
                        <wps:txbx>
                          <w:txbxContent>
                            <w:p>
                              <w:pPr>
                                <w:jc w:val="center"/>
                                <w:rPr>
                                  <w:rFonts w:hint="eastAsia" w:eastAsia="微软雅黑"/>
                                  <w:color w:val="FFFFFF" w:themeColor="background1"/>
                                  <w:sz w:val="32"/>
                                  <w:szCs w:val="40"/>
                                  <w:lang w:val="en-US" w:eastAsia="zh-CN"/>
                                  <w14:textFill>
                                    <w14:solidFill>
                                      <w14:schemeClr w14:val="bg1"/>
                                    </w14:solidFill>
                                  </w14:textFill>
                                </w:rPr>
                              </w:pPr>
                              <w:r>
                                <w:rPr>
                                  <w:rFonts w:hint="eastAsia" w:ascii="微软雅黑" w:hAnsi="微软雅黑" w:eastAsia="微软雅黑" w:cs="微软雅黑"/>
                                  <w:b/>
                                  <w:bCs/>
                                  <w:color w:val="FFFFFF" w:themeColor="background1"/>
                                  <w:kern w:val="24"/>
                                  <w:sz w:val="144"/>
                                  <w:szCs w:val="144"/>
                                  <w:lang w:bidi="ar"/>
                                  <w14:textFill>
                                    <w14:solidFill>
                                      <w14:schemeClr w14:val="bg1"/>
                                    </w14:solidFill>
                                  </w14:textFill>
                                </w:rPr>
                                <w:t>202</w:t>
                              </w:r>
                              <w:r>
                                <w:rPr>
                                  <w:rFonts w:hint="eastAsia" w:ascii="微软雅黑" w:hAnsi="微软雅黑" w:eastAsia="微软雅黑" w:cs="微软雅黑"/>
                                  <w:b/>
                                  <w:bCs/>
                                  <w:color w:val="FFFFFF" w:themeColor="background1"/>
                                  <w:kern w:val="24"/>
                                  <w:sz w:val="144"/>
                                  <w:szCs w:val="144"/>
                                  <w:lang w:val="en-US" w:eastAsia="zh-CN" w:bidi="ar"/>
                                  <w14:textFill>
                                    <w14:solidFill>
                                      <w14:schemeClr w14:val="bg1"/>
                                    </w14:solidFill>
                                  </w14:textFill>
                                </w:rPr>
                                <w:t>2</w:t>
                              </w:r>
                            </w:p>
                          </w:txbxContent>
                        </wps:txbx>
                        <wps:bodyPr wrap="square">
                          <a:spAutoFit/>
                        </wps:bodyPr>
                      </wps:wsp>
                    </wpg:wgp>
                  </a:graphicData>
                </a:graphic>
              </wp:anchor>
            </w:drawing>
          </mc:Choice>
          <mc:Fallback>
            <w:pict>
              <v:group id="组合 75" o:spid="_x0000_s1026" o:spt="203" style="position:absolute;left:0pt;margin-left:69.75pt;margin-top:239.5pt;height:267.1pt;width:520.6pt;z-index:251659264;mso-width-relative:page;mso-height-relative:page;" coordorigin="13587,9509" coordsize="10413,5394" o:gfxdata="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1+GpPtsAAAANAQAADwAAAAAAAAABACAAAAAiAAAAZHJzL2Rvd25yZXYueG1sUEsBAhQA&#10;FAAAAAgAh07iQOrgIqRhAgAAXgYAAA4AAAAAAAAAAQAgAAAAKgEAAGRycy9lMm9Eb2MueG1sUEsF&#10;BgAAAAAGAAYAWQEAAP0FAAAAAA==&#10;">
                <o:lock v:ext="edit" aspectratio="f"/>
                <v:shape id="文本框 11" o:spid="_x0000_s1026" o:spt="202" type="#_x0000_t202" style="position:absolute;left:13587;top:9509;height:2827;width:10413;" filled="f" stroked="f" coordsize="21600,21600" o:gfxdata="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nDZb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rPr>
                            <w:color w:val="FFFFFF" w:themeColor="background1"/>
                            <w:sz w:val="24"/>
                            <w:szCs w:val="32"/>
                            <w14:textFill>
                              <w14:solidFill>
                                <w14:schemeClr w14:val="bg1"/>
                              </w14:solidFill>
                            </w14:textFill>
                          </w:rPr>
                        </w:pPr>
                        <w:r>
                          <w:rPr>
                            <w:rFonts w:hint="eastAsia" w:ascii="微软雅黑" w:hAnsi="微软雅黑" w:eastAsia="微软雅黑" w:cs="微软雅黑"/>
                            <w:b/>
                            <w:color w:val="FAB539"/>
                            <w:kern w:val="24"/>
                            <w:sz w:val="144"/>
                            <w:szCs w:val="144"/>
                            <w:lang w:bidi="ar"/>
                          </w:rPr>
                          <w:t>质量诚信报告</w:t>
                        </w:r>
                      </w:p>
                    </w:txbxContent>
                  </v:textbox>
                </v:shape>
                <v:shape id="文本框 13" o:spid="_x0000_s1026" o:spt="202" type="#_x0000_t202" style="position:absolute;left:15074;top:12076;height:2827;width:6683;" filled="f" stroked="f" coordsize="21600,21600" o:gfxdata="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Vm/r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jc w:val="center"/>
                          <w:rPr>
                            <w:rFonts w:hint="eastAsia" w:eastAsia="微软雅黑"/>
                            <w:color w:val="FFFFFF" w:themeColor="background1"/>
                            <w:sz w:val="32"/>
                            <w:szCs w:val="40"/>
                            <w:lang w:val="en-US" w:eastAsia="zh-CN"/>
                            <w14:textFill>
                              <w14:solidFill>
                                <w14:schemeClr w14:val="bg1"/>
                              </w14:solidFill>
                            </w14:textFill>
                          </w:rPr>
                        </w:pPr>
                        <w:r>
                          <w:rPr>
                            <w:rFonts w:hint="eastAsia" w:ascii="微软雅黑" w:hAnsi="微软雅黑" w:eastAsia="微软雅黑" w:cs="微软雅黑"/>
                            <w:b/>
                            <w:bCs/>
                            <w:color w:val="FFFFFF" w:themeColor="background1"/>
                            <w:kern w:val="24"/>
                            <w:sz w:val="144"/>
                            <w:szCs w:val="144"/>
                            <w:lang w:bidi="ar"/>
                            <w14:textFill>
                              <w14:solidFill>
                                <w14:schemeClr w14:val="bg1"/>
                              </w14:solidFill>
                            </w14:textFill>
                          </w:rPr>
                          <w:t>202</w:t>
                        </w:r>
                        <w:r>
                          <w:rPr>
                            <w:rFonts w:hint="eastAsia" w:ascii="微软雅黑" w:hAnsi="微软雅黑" w:eastAsia="微软雅黑" w:cs="微软雅黑"/>
                            <w:b/>
                            <w:bCs/>
                            <w:color w:val="FFFFFF" w:themeColor="background1"/>
                            <w:kern w:val="24"/>
                            <w:sz w:val="144"/>
                            <w:szCs w:val="144"/>
                            <w:lang w:val="en-US" w:eastAsia="zh-CN" w:bidi="ar"/>
                            <w14:textFill>
                              <w14:solidFill>
                                <w14:schemeClr w14:val="bg1"/>
                              </w14:solidFill>
                            </w14:textFill>
                          </w:rPr>
                          <w:t>2</w:t>
                        </w:r>
                      </w:p>
                    </w:txbxContent>
                  </v:textbox>
                </v:shape>
              </v:group>
            </w:pict>
          </mc:Fallback>
        </mc:AlternateContent>
      </w:r>
    </w:p>
    <w:p/>
    <w:p>
      <w:pPr>
        <w:pStyle w:val="4"/>
        <w:spacing w:after="240"/>
        <w:jc w:val="center"/>
        <w:rPr>
          <w:rFonts w:hint="eastAsia" w:ascii="宋体" w:cs="宋体"/>
        </w:rPr>
      </w:pPr>
      <w:bookmarkStart w:id="0" w:name="_Toc10130"/>
      <w:r>
        <w:rPr>
          <w:rFonts w:hint="eastAsia"/>
        </w:rPr>
        <w:t>郑重声明</w:t>
      </w:r>
      <w:bookmarkEnd w:id="0"/>
    </w:p>
    <w:p>
      <w:pPr>
        <w:tabs>
          <w:tab w:val="left" w:pos="3654"/>
        </w:tabs>
        <w:adjustRightInd w:val="0"/>
        <w:snapToGrid w:val="0"/>
        <w:spacing w:line="360" w:lineRule="auto"/>
        <w:ind w:firstLine="560" w:firstLineChars="200"/>
        <w:jc w:val="left"/>
        <w:rPr>
          <w:rFonts w:ascii="宋体" w:hAnsi="宋体" w:cs="宋体"/>
          <w:color w:val="000000"/>
          <w:sz w:val="28"/>
          <w:szCs w:val="28"/>
        </w:rPr>
      </w:pPr>
      <w:r>
        <w:rPr>
          <w:rFonts w:hint="eastAsia" w:ascii="宋体" w:hAnsi="宋体" w:cs="宋体"/>
          <w:color w:val="000000"/>
          <w:sz w:val="28"/>
          <w:szCs w:val="28"/>
        </w:rPr>
        <w:t>本公司出具的</w:t>
      </w:r>
      <w:r>
        <w:rPr>
          <w:rFonts w:hint="eastAsia" w:ascii="宋体" w:hAnsi="宋体" w:cs="宋体"/>
          <w:color w:val="000000"/>
          <w:sz w:val="28"/>
          <w:szCs w:val="28"/>
          <w:lang w:eastAsia="zh-CN"/>
        </w:rPr>
        <w:t>质量诚信报告</w:t>
      </w:r>
      <w:r>
        <w:rPr>
          <w:rFonts w:hint="eastAsia" w:ascii="宋体" w:hAnsi="宋体" w:cs="宋体"/>
          <w:color w:val="000000"/>
          <w:sz w:val="28"/>
          <w:szCs w:val="28"/>
        </w:rPr>
        <w:t>，是依据国家有关质量法律、法规等进行撰写。报告中关于公司质量诚信是公司现状的真实反映，本公司对报告内容的客观性负责，对相关论述和结论真实性和科学性负责。</w:t>
      </w:r>
    </w:p>
    <w:p>
      <w:pPr>
        <w:spacing w:line="520" w:lineRule="exact"/>
        <w:ind w:firstLine="5040" w:firstLineChars="1800"/>
        <w:rPr>
          <w:rFonts w:ascii="宋体" w:cs="宋体"/>
          <w:sz w:val="28"/>
          <w:szCs w:val="28"/>
        </w:rPr>
      </w:pPr>
    </w:p>
    <w:p>
      <w:pPr>
        <w:spacing w:line="520" w:lineRule="exact"/>
        <w:ind w:firstLine="5040" w:firstLineChars="1800"/>
        <w:rPr>
          <w:rFonts w:ascii="宋体" w:cs="宋体"/>
          <w:sz w:val="28"/>
          <w:szCs w:val="28"/>
        </w:rPr>
      </w:pPr>
    </w:p>
    <w:p>
      <w:pPr>
        <w:spacing w:line="520" w:lineRule="exact"/>
        <w:ind w:firstLine="5040" w:firstLineChars="1800"/>
        <w:rPr>
          <w:rFonts w:ascii="宋体" w:cs="宋体"/>
          <w:sz w:val="28"/>
          <w:szCs w:val="28"/>
        </w:rPr>
      </w:pPr>
    </w:p>
    <w:p>
      <w:pPr>
        <w:spacing w:line="520" w:lineRule="exact"/>
        <w:ind w:firstLine="5040" w:firstLineChars="1800"/>
        <w:rPr>
          <w:rFonts w:ascii="宋体" w:cs="宋体"/>
          <w:sz w:val="28"/>
          <w:szCs w:val="28"/>
        </w:rPr>
      </w:pPr>
    </w:p>
    <w:p>
      <w:pPr>
        <w:spacing w:line="520" w:lineRule="exact"/>
        <w:ind w:firstLine="5040" w:firstLineChars="1800"/>
        <w:rPr>
          <w:rFonts w:ascii="宋体" w:cs="宋体"/>
          <w:sz w:val="28"/>
          <w:szCs w:val="28"/>
        </w:rPr>
      </w:pPr>
    </w:p>
    <w:p>
      <w:pPr>
        <w:spacing w:line="520" w:lineRule="exact"/>
        <w:ind w:firstLine="5040" w:firstLineChars="1800"/>
        <w:rPr>
          <w:rFonts w:ascii="EHKHQN+ËÎÌå" w:hAnsi="EHKHQN+ËÎÌå" w:cs="EHKHQN+ËÎÌå"/>
          <w:color w:val="000000"/>
          <w:sz w:val="28"/>
          <w:szCs w:val="28"/>
        </w:rPr>
      </w:pPr>
    </w:p>
    <w:p>
      <w:pPr>
        <w:spacing w:line="520" w:lineRule="exact"/>
        <w:ind w:firstLine="5040" w:firstLineChars="1800"/>
        <w:rPr>
          <w:rFonts w:ascii="EHKHQN+ËÎÌå" w:hAnsi="EHKHQN+ËÎÌå" w:cs="EHKHQN+ËÎÌå"/>
          <w:color w:val="000000"/>
          <w:sz w:val="28"/>
          <w:szCs w:val="28"/>
        </w:rPr>
      </w:pPr>
    </w:p>
    <w:p>
      <w:pPr>
        <w:spacing w:line="400" w:lineRule="exact"/>
        <w:jc w:val="right"/>
        <w:rPr>
          <w:rFonts w:ascii="EHKHQN+ËÎÌå" w:hAnsi="EHKHQN+ËÎÌå" w:cs="EHKHQN+ËÎÌå"/>
          <w:color w:val="000000"/>
          <w:sz w:val="28"/>
          <w:szCs w:val="28"/>
        </w:rPr>
        <w:sectPr>
          <w:footerReference r:id="rId6" w:type="default"/>
          <w:pgSz w:w="11906" w:h="16838"/>
          <w:pgMar w:top="1440" w:right="1080" w:bottom="1440" w:left="1080" w:header="851" w:footer="992" w:gutter="0"/>
          <w:cols w:space="425" w:num="1"/>
          <w:docGrid w:type="lines" w:linePitch="312" w:charSpace="0"/>
        </w:sectPr>
      </w:pPr>
      <w:r>
        <w:rPr>
          <w:rFonts w:hint="eastAsia" w:ascii="EHKHQN+ËÎÌå" w:hAnsi="EHKHQN+ËÎÌå" w:cs="EHKHQN+ËÎÌå"/>
          <w:color w:val="000000"/>
          <w:sz w:val="28"/>
          <w:szCs w:val="28"/>
          <w:lang w:eastAsia="zh-CN"/>
        </w:rPr>
        <w:t>钱江集团温岭正峰动力有限公司</w:t>
      </w:r>
      <w:r>
        <w:rPr>
          <w:rFonts w:hint="eastAsia" w:ascii="EHKHQN+ËÎÌå" w:hAnsi="EHKHQN+ËÎÌå" w:cs="EHKHQN+ËÎÌå"/>
          <w:color w:val="000000"/>
          <w:sz w:val="28"/>
          <w:szCs w:val="28"/>
        </w:rPr>
        <w:t xml:space="preserve"> </w:t>
      </w:r>
    </w:p>
    <w:sdt>
      <w:sdtPr>
        <w:rPr>
          <w:rFonts w:hint="eastAsia" w:ascii="黑体" w:hAnsi="黑体" w:eastAsia="黑体" w:cs="黑体"/>
          <w:sz w:val="36"/>
          <w:szCs w:val="36"/>
          <w:lang w:val="zh-CN"/>
        </w:rPr>
        <w:id w:val="444426780"/>
      </w:sdtPr>
      <w:sdtEndPr>
        <w:rPr>
          <w:rFonts w:hint="eastAsia" w:ascii="黑体" w:hAnsi="黑体" w:eastAsia="黑体" w:cs="黑体"/>
          <w:sz w:val="28"/>
          <w:szCs w:val="28"/>
          <w:lang w:val="zh-CN"/>
        </w:rPr>
      </w:sdtEndPr>
      <w:sdtContent>
        <w:p>
          <w:pPr>
            <w:jc w:val="center"/>
            <w:rPr>
              <w:rFonts w:hint="eastAsia" w:asciiTheme="majorHAnsi" w:hAnsiTheme="majorHAnsi" w:eastAsiaTheme="majorEastAsia" w:cstheme="majorBidi"/>
              <w:b/>
              <w:bCs/>
              <w:caps/>
              <w:spacing w:val="4"/>
              <w:sz w:val="28"/>
              <w:szCs w:val="28"/>
            </w:rPr>
          </w:pPr>
          <w:r>
            <w:rPr>
              <w:rFonts w:hint="eastAsia" w:asciiTheme="majorHAnsi" w:hAnsiTheme="majorHAnsi" w:eastAsiaTheme="majorEastAsia" w:cstheme="majorBidi"/>
              <w:b/>
              <w:bCs/>
              <w:caps/>
              <w:spacing w:val="4"/>
              <w:sz w:val="28"/>
              <w:szCs w:val="28"/>
            </w:rPr>
            <w:t>目录</w:t>
          </w:r>
        </w:p>
        <w:p>
          <w:pPr>
            <w:pStyle w:val="20"/>
            <w:tabs>
              <w:tab w:val="right" w:leader="dot" w:pos="9746"/>
            </w:tabs>
          </w:pPr>
          <w:r>
            <w:rPr>
              <w:rFonts w:hint="eastAsia" w:ascii="黑体" w:hAnsi="黑体" w:eastAsia="黑体" w:cs="黑体"/>
              <w:b/>
              <w:bCs/>
              <w:sz w:val="40"/>
              <w:szCs w:val="40"/>
            </w:rPr>
            <w:fldChar w:fldCharType="begin"/>
          </w:r>
          <w:r>
            <w:rPr>
              <w:rFonts w:hint="eastAsia" w:ascii="黑体" w:hAnsi="黑体" w:eastAsia="黑体" w:cs="黑体"/>
              <w:b/>
              <w:bCs/>
              <w:sz w:val="40"/>
              <w:szCs w:val="40"/>
            </w:rPr>
            <w:instrText xml:space="preserve"> TOC \o "1-3" \h \z \u </w:instrText>
          </w:r>
          <w:r>
            <w:rPr>
              <w:rFonts w:hint="eastAsia" w:ascii="黑体" w:hAnsi="黑体" w:eastAsia="黑体" w:cs="黑体"/>
              <w:b/>
              <w:bCs/>
              <w:sz w:val="40"/>
              <w:szCs w:val="40"/>
            </w:rPr>
            <w:fldChar w:fldCharType="separate"/>
          </w:r>
          <w:r>
            <w:rPr>
              <w:rFonts w:hint="eastAsia" w:ascii="黑体" w:hAnsi="黑体" w:eastAsia="黑体" w:cs="黑体"/>
              <w:bCs/>
              <w:szCs w:val="40"/>
            </w:rPr>
            <w:fldChar w:fldCharType="begin"/>
          </w:r>
          <w:r>
            <w:rPr>
              <w:rFonts w:hint="eastAsia" w:ascii="黑体" w:hAnsi="黑体" w:eastAsia="黑体" w:cs="黑体"/>
              <w:bCs/>
              <w:szCs w:val="40"/>
            </w:rPr>
            <w:instrText xml:space="preserve"> HYPERLINK \l _Toc10130 </w:instrText>
          </w:r>
          <w:r>
            <w:rPr>
              <w:rFonts w:hint="eastAsia" w:ascii="黑体" w:hAnsi="黑体" w:eastAsia="黑体" w:cs="黑体"/>
              <w:bCs/>
              <w:szCs w:val="40"/>
            </w:rPr>
            <w:fldChar w:fldCharType="separate"/>
          </w:r>
          <w:r>
            <w:rPr>
              <w:rFonts w:hint="eastAsia"/>
            </w:rPr>
            <w:t>郑重声明</w:t>
          </w:r>
          <w:r>
            <w:tab/>
          </w:r>
          <w:r>
            <w:fldChar w:fldCharType="begin"/>
          </w:r>
          <w:r>
            <w:instrText xml:space="preserve"> PAGEREF _Toc10130 </w:instrText>
          </w:r>
          <w:r>
            <w:fldChar w:fldCharType="separate"/>
          </w:r>
          <w:r>
            <w:t>2</w:t>
          </w:r>
          <w:r>
            <w:fldChar w:fldCharType="end"/>
          </w:r>
          <w:r>
            <w:rPr>
              <w:rFonts w:hint="eastAsia" w:ascii="黑体" w:hAnsi="黑体" w:eastAsia="黑体" w:cs="黑体"/>
              <w:bCs/>
              <w:szCs w:val="40"/>
            </w:rPr>
            <w:fldChar w:fldCharType="end"/>
          </w:r>
        </w:p>
        <w:p>
          <w:pPr>
            <w:pStyle w:val="20"/>
            <w:tabs>
              <w:tab w:val="right" w:leader="dot" w:pos="9746"/>
            </w:tabs>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_Toc14677 </w:instrText>
          </w:r>
          <w:r>
            <w:rPr>
              <w:rFonts w:hint="eastAsia" w:ascii="黑体" w:hAnsi="黑体" w:eastAsia="黑体" w:cs="黑体"/>
              <w:bCs/>
              <w:szCs w:val="40"/>
              <w:lang w:val="zh-CN"/>
            </w:rPr>
            <w:fldChar w:fldCharType="separate"/>
          </w:r>
          <w:r>
            <w:rPr>
              <w:rFonts w:hint="eastAsia"/>
            </w:rPr>
            <w:t>前言</w:t>
          </w:r>
          <w:r>
            <w:tab/>
          </w:r>
          <w:r>
            <w:fldChar w:fldCharType="begin"/>
          </w:r>
          <w:r>
            <w:instrText xml:space="preserve"> PAGEREF _Toc14677 </w:instrText>
          </w:r>
          <w:r>
            <w:fldChar w:fldCharType="separate"/>
          </w:r>
          <w:r>
            <w:t>4</w:t>
          </w:r>
          <w:r>
            <w:fldChar w:fldCharType="end"/>
          </w:r>
          <w:r>
            <w:rPr>
              <w:rFonts w:hint="eastAsia" w:ascii="黑体" w:hAnsi="黑体" w:eastAsia="黑体" w:cs="黑体"/>
              <w:bCs/>
              <w:szCs w:val="40"/>
              <w:lang w:val="zh-CN"/>
            </w:rPr>
            <w:fldChar w:fldCharType="end"/>
          </w:r>
        </w:p>
        <w:p>
          <w:pPr>
            <w:pStyle w:val="20"/>
            <w:tabs>
              <w:tab w:val="right" w:leader="dot" w:pos="9746"/>
            </w:tabs>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_Toc28806 </w:instrText>
          </w:r>
          <w:r>
            <w:rPr>
              <w:rFonts w:hint="eastAsia" w:ascii="黑体" w:hAnsi="黑体" w:eastAsia="黑体" w:cs="黑体"/>
              <w:bCs/>
              <w:szCs w:val="40"/>
              <w:lang w:val="zh-CN"/>
            </w:rPr>
            <w:fldChar w:fldCharType="separate"/>
          </w:r>
          <w:r>
            <w:rPr>
              <w:rFonts w:hint="eastAsia"/>
            </w:rPr>
            <w:t>一、企业简介</w:t>
          </w:r>
          <w:r>
            <w:tab/>
          </w:r>
          <w:r>
            <w:fldChar w:fldCharType="begin"/>
          </w:r>
          <w:r>
            <w:instrText xml:space="preserve"> PAGEREF _Toc28806 </w:instrText>
          </w:r>
          <w:r>
            <w:fldChar w:fldCharType="separate"/>
          </w:r>
          <w:r>
            <w:t>5</w:t>
          </w:r>
          <w:r>
            <w:fldChar w:fldCharType="end"/>
          </w:r>
          <w:r>
            <w:rPr>
              <w:rFonts w:hint="eastAsia" w:ascii="黑体" w:hAnsi="黑体" w:eastAsia="黑体" w:cs="黑体"/>
              <w:bCs/>
              <w:szCs w:val="40"/>
              <w:lang w:val="zh-CN"/>
            </w:rPr>
            <w:fldChar w:fldCharType="end"/>
          </w:r>
        </w:p>
        <w:p>
          <w:pPr>
            <w:pStyle w:val="20"/>
            <w:tabs>
              <w:tab w:val="right" w:leader="dot" w:pos="9746"/>
            </w:tabs>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_Toc14646 </w:instrText>
          </w:r>
          <w:r>
            <w:rPr>
              <w:rFonts w:hint="eastAsia" w:ascii="黑体" w:hAnsi="黑体" w:eastAsia="黑体" w:cs="黑体"/>
              <w:bCs/>
              <w:szCs w:val="40"/>
              <w:lang w:val="zh-CN"/>
            </w:rPr>
            <w:fldChar w:fldCharType="separate"/>
          </w:r>
          <w:r>
            <w:rPr>
              <w:rFonts w:hint="eastAsia"/>
              <w:lang w:val="en-US" w:eastAsia="zh-CN"/>
            </w:rPr>
            <w:t>二、 质量理念</w:t>
          </w:r>
          <w:r>
            <w:tab/>
          </w:r>
          <w:r>
            <w:fldChar w:fldCharType="begin"/>
          </w:r>
          <w:r>
            <w:instrText xml:space="preserve"> PAGEREF _Toc14646 </w:instrText>
          </w:r>
          <w:r>
            <w:fldChar w:fldCharType="separate"/>
          </w:r>
          <w:r>
            <w:t>12</w:t>
          </w:r>
          <w:r>
            <w:fldChar w:fldCharType="end"/>
          </w:r>
          <w:r>
            <w:rPr>
              <w:rFonts w:hint="eastAsia" w:ascii="黑体" w:hAnsi="黑体" w:eastAsia="黑体" w:cs="黑体"/>
              <w:bCs/>
              <w:szCs w:val="40"/>
              <w:lang w:val="zh-CN"/>
            </w:rPr>
            <w:fldChar w:fldCharType="end"/>
          </w:r>
        </w:p>
        <w:p>
          <w:pPr>
            <w:pStyle w:val="22"/>
            <w:tabs>
              <w:tab w:val="right" w:leader="dot" w:pos="9746"/>
            </w:tabs>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_Toc14664 </w:instrText>
          </w:r>
          <w:r>
            <w:rPr>
              <w:rFonts w:hint="eastAsia" w:ascii="黑体" w:hAnsi="黑体" w:eastAsia="黑体" w:cs="黑体"/>
              <w:bCs/>
              <w:szCs w:val="40"/>
              <w:lang w:val="zh-CN"/>
            </w:rPr>
            <w:fldChar w:fldCharType="separate"/>
          </w:r>
          <w:r>
            <w:rPr>
              <w:rFonts w:hint="eastAsia" w:hAnsi="宋体"/>
              <w:szCs w:val="21"/>
              <w:lang w:val="en-US" w:eastAsia="zh-CN"/>
            </w:rPr>
            <w:t>企业文化</w:t>
          </w:r>
          <w:r>
            <w:tab/>
          </w:r>
          <w:r>
            <w:fldChar w:fldCharType="begin"/>
          </w:r>
          <w:r>
            <w:instrText xml:space="preserve"> PAGEREF _Toc14664 </w:instrText>
          </w:r>
          <w:r>
            <w:fldChar w:fldCharType="separate"/>
          </w:r>
          <w:r>
            <w:t>12</w:t>
          </w:r>
          <w:r>
            <w:fldChar w:fldCharType="end"/>
          </w:r>
          <w:r>
            <w:rPr>
              <w:rFonts w:hint="eastAsia" w:ascii="黑体" w:hAnsi="黑体" w:eastAsia="黑体" w:cs="黑体"/>
              <w:bCs/>
              <w:szCs w:val="40"/>
              <w:lang w:val="zh-CN"/>
            </w:rPr>
            <w:fldChar w:fldCharType="end"/>
          </w:r>
        </w:p>
        <w:p>
          <w:pPr>
            <w:pStyle w:val="20"/>
            <w:tabs>
              <w:tab w:val="right" w:leader="dot" w:pos="9746"/>
            </w:tabs>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_Toc31707 </w:instrText>
          </w:r>
          <w:r>
            <w:rPr>
              <w:rFonts w:hint="eastAsia" w:ascii="黑体" w:hAnsi="黑体" w:eastAsia="黑体" w:cs="黑体"/>
              <w:bCs/>
              <w:szCs w:val="40"/>
              <w:lang w:val="zh-CN"/>
            </w:rPr>
            <w:fldChar w:fldCharType="separate"/>
          </w:r>
          <w:r>
            <w:rPr>
              <w:rFonts w:hint="eastAsia"/>
              <w:lang w:val="en-US" w:eastAsia="zh-CN"/>
            </w:rPr>
            <w:t>三、 质量目标</w:t>
          </w:r>
          <w:r>
            <w:tab/>
          </w:r>
          <w:r>
            <w:fldChar w:fldCharType="begin"/>
          </w:r>
          <w:r>
            <w:instrText xml:space="preserve"> PAGEREF _Toc31707 </w:instrText>
          </w:r>
          <w:r>
            <w:fldChar w:fldCharType="separate"/>
          </w:r>
          <w:r>
            <w:t>12</w:t>
          </w:r>
          <w:r>
            <w:fldChar w:fldCharType="end"/>
          </w:r>
          <w:r>
            <w:rPr>
              <w:rFonts w:hint="eastAsia" w:ascii="黑体" w:hAnsi="黑体" w:eastAsia="黑体" w:cs="黑体"/>
              <w:bCs/>
              <w:szCs w:val="40"/>
              <w:lang w:val="zh-CN"/>
            </w:rPr>
            <w:fldChar w:fldCharType="end"/>
          </w:r>
        </w:p>
        <w:p>
          <w:pPr>
            <w:pStyle w:val="20"/>
            <w:tabs>
              <w:tab w:val="right" w:leader="dot" w:pos="9746"/>
            </w:tabs>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_Toc14395 </w:instrText>
          </w:r>
          <w:r>
            <w:rPr>
              <w:rFonts w:hint="eastAsia" w:ascii="黑体" w:hAnsi="黑体" w:eastAsia="黑体" w:cs="黑体"/>
              <w:bCs/>
              <w:szCs w:val="40"/>
              <w:lang w:val="zh-CN"/>
            </w:rPr>
            <w:fldChar w:fldCharType="separate"/>
          </w:r>
          <w:r>
            <w:rPr>
              <w:rFonts w:hint="eastAsia"/>
            </w:rPr>
            <w:t>四、 质量内部管理</w:t>
          </w:r>
          <w:r>
            <w:tab/>
          </w:r>
          <w:r>
            <w:fldChar w:fldCharType="begin"/>
          </w:r>
          <w:r>
            <w:instrText xml:space="preserve"> PAGEREF _Toc14395 </w:instrText>
          </w:r>
          <w:r>
            <w:fldChar w:fldCharType="separate"/>
          </w:r>
          <w:r>
            <w:t>12</w:t>
          </w:r>
          <w:r>
            <w:fldChar w:fldCharType="end"/>
          </w:r>
          <w:r>
            <w:rPr>
              <w:rFonts w:hint="eastAsia" w:ascii="黑体" w:hAnsi="黑体" w:eastAsia="黑体" w:cs="黑体"/>
              <w:bCs/>
              <w:szCs w:val="40"/>
              <w:lang w:val="zh-CN"/>
            </w:rPr>
            <w:fldChar w:fldCharType="end"/>
          </w:r>
        </w:p>
        <w:p>
          <w:pPr>
            <w:pStyle w:val="22"/>
            <w:tabs>
              <w:tab w:val="right" w:leader="dot" w:pos="9746"/>
            </w:tabs>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_Toc20870 </w:instrText>
          </w:r>
          <w:r>
            <w:rPr>
              <w:rFonts w:hint="eastAsia" w:ascii="黑体" w:hAnsi="黑体" w:eastAsia="黑体" w:cs="黑体"/>
              <w:bCs/>
              <w:szCs w:val="40"/>
              <w:lang w:val="zh-CN"/>
            </w:rPr>
            <w:fldChar w:fldCharType="separate"/>
          </w:r>
          <w:r>
            <w:rPr>
              <w:rFonts w:hint="eastAsia" w:ascii="宋体" w:hAnsi="宋体" w:cs="宋体"/>
              <w:szCs w:val="21"/>
            </w:rPr>
            <w:t xml:space="preserve">一、 </w:t>
          </w:r>
          <w:r>
            <w:rPr>
              <w:rFonts w:hint="eastAsia" w:ascii="宋体" w:hAnsi="宋体" w:cs="宋体"/>
              <w:szCs w:val="21"/>
              <w:lang w:val="en-US" w:eastAsia="zh-CN"/>
            </w:rPr>
            <w:t>质量风险监测</w:t>
          </w:r>
          <w:r>
            <w:tab/>
          </w:r>
          <w:r>
            <w:fldChar w:fldCharType="begin"/>
          </w:r>
          <w:r>
            <w:instrText xml:space="preserve"> PAGEREF _Toc20870 </w:instrText>
          </w:r>
          <w:r>
            <w:fldChar w:fldCharType="separate"/>
          </w:r>
          <w:r>
            <w:t>12</w:t>
          </w:r>
          <w:r>
            <w:fldChar w:fldCharType="end"/>
          </w:r>
          <w:r>
            <w:rPr>
              <w:rFonts w:hint="eastAsia" w:ascii="黑体" w:hAnsi="黑体" w:eastAsia="黑体" w:cs="黑体"/>
              <w:bCs/>
              <w:szCs w:val="40"/>
              <w:lang w:val="zh-CN"/>
            </w:rPr>
            <w:fldChar w:fldCharType="end"/>
          </w:r>
        </w:p>
        <w:p>
          <w:pPr>
            <w:pStyle w:val="22"/>
            <w:tabs>
              <w:tab w:val="right" w:leader="dot" w:pos="9746"/>
            </w:tabs>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_Toc19025 </w:instrText>
          </w:r>
          <w:r>
            <w:rPr>
              <w:rFonts w:hint="eastAsia" w:ascii="黑体" w:hAnsi="黑体" w:eastAsia="黑体" w:cs="黑体"/>
              <w:bCs/>
              <w:szCs w:val="40"/>
              <w:lang w:val="zh-CN"/>
            </w:rPr>
            <w:fldChar w:fldCharType="separate"/>
          </w:r>
          <w:r>
            <w:rPr>
              <w:rFonts w:hint="eastAsia" w:ascii="宋体" w:hAnsi="宋体" w:cs="宋体"/>
              <w:szCs w:val="21"/>
            </w:rPr>
            <w:t xml:space="preserve">二、 </w:t>
          </w:r>
          <w:r>
            <w:rPr>
              <w:rFonts w:hint="eastAsia" w:ascii="宋体" w:hAnsi="宋体" w:cs="宋体"/>
              <w:szCs w:val="21"/>
              <w:lang w:val="en-US" w:eastAsia="zh-CN"/>
            </w:rPr>
            <w:t>不合格输出控制</w:t>
          </w:r>
          <w:r>
            <w:tab/>
          </w:r>
          <w:r>
            <w:fldChar w:fldCharType="begin"/>
          </w:r>
          <w:r>
            <w:instrText xml:space="preserve"> PAGEREF _Toc19025 </w:instrText>
          </w:r>
          <w:r>
            <w:fldChar w:fldCharType="separate"/>
          </w:r>
          <w:r>
            <w:t>13</w:t>
          </w:r>
          <w:r>
            <w:fldChar w:fldCharType="end"/>
          </w:r>
          <w:r>
            <w:rPr>
              <w:rFonts w:hint="eastAsia" w:ascii="黑体" w:hAnsi="黑体" w:eastAsia="黑体" w:cs="黑体"/>
              <w:bCs/>
              <w:szCs w:val="40"/>
              <w:lang w:val="zh-CN"/>
            </w:rPr>
            <w:fldChar w:fldCharType="end"/>
          </w:r>
        </w:p>
        <w:p>
          <w:pPr>
            <w:pStyle w:val="22"/>
            <w:tabs>
              <w:tab w:val="right" w:leader="dot" w:pos="9746"/>
            </w:tabs>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_Toc16918 </w:instrText>
          </w:r>
          <w:r>
            <w:rPr>
              <w:rFonts w:hint="eastAsia" w:ascii="黑体" w:hAnsi="黑体" w:eastAsia="黑体" w:cs="黑体"/>
              <w:bCs/>
              <w:szCs w:val="40"/>
              <w:lang w:val="zh-CN"/>
            </w:rPr>
            <w:fldChar w:fldCharType="separate"/>
          </w:r>
          <w:r>
            <w:rPr>
              <w:rFonts w:hint="eastAsia" w:hAnsi="宋体"/>
              <w:szCs w:val="21"/>
            </w:rPr>
            <w:t xml:space="preserve">三、 </w:t>
          </w:r>
          <w:r>
            <w:rPr>
              <w:rFonts w:hint="eastAsia" w:hAnsi="宋体"/>
              <w:szCs w:val="21"/>
              <w:lang w:val="en-US" w:eastAsia="zh-CN"/>
            </w:rPr>
            <w:t>质量保障系统</w:t>
          </w:r>
          <w:r>
            <w:tab/>
          </w:r>
          <w:r>
            <w:fldChar w:fldCharType="begin"/>
          </w:r>
          <w:r>
            <w:instrText xml:space="preserve"> PAGEREF _Toc16918 </w:instrText>
          </w:r>
          <w:r>
            <w:fldChar w:fldCharType="separate"/>
          </w:r>
          <w:r>
            <w:t>16</w:t>
          </w:r>
          <w:r>
            <w:fldChar w:fldCharType="end"/>
          </w:r>
          <w:r>
            <w:rPr>
              <w:rFonts w:hint="eastAsia" w:ascii="黑体" w:hAnsi="黑体" w:eastAsia="黑体" w:cs="黑体"/>
              <w:bCs/>
              <w:szCs w:val="40"/>
              <w:lang w:val="zh-CN"/>
            </w:rPr>
            <w:fldChar w:fldCharType="end"/>
          </w:r>
        </w:p>
        <w:p>
          <w:pPr>
            <w:pStyle w:val="22"/>
            <w:tabs>
              <w:tab w:val="right" w:leader="dot" w:pos="9746"/>
            </w:tabs>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_Toc25544 </w:instrText>
          </w:r>
          <w:r>
            <w:rPr>
              <w:rFonts w:hint="eastAsia" w:ascii="黑体" w:hAnsi="黑体" w:eastAsia="黑体" w:cs="黑体"/>
              <w:bCs/>
              <w:szCs w:val="40"/>
              <w:lang w:val="zh-CN"/>
            </w:rPr>
            <w:fldChar w:fldCharType="separate"/>
          </w:r>
          <w:r>
            <w:rPr>
              <w:rFonts w:hint="eastAsia" w:hAnsi="宋体"/>
              <w:szCs w:val="21"/>
            </w:rPr>
            <w:t>四、 全员参与</w:t>
          </w:r>
          <w:r>
            <w:tab/>
          </w:r>
          <w:r>
            <w:fldChar w:fldCharType="begin"/>
          </w:r>
          <w:r>
            <w:instrText xml:space="preserve"> PAGEREF _Toc25544 </w:instrText>
          </w:r>
          <w:r>
            <w:fldChar w:fldCharType="separate"/>
          </w:r>
          <w:r>
            <w:t>17</w:t>
          </w:r>
          <w:r>
            <w:fldChar w:fldCharType="end"/>
          </w:r>
          <w:r>
            <w:rPr>
              <w:rFonts w:hint="eastAsia" w:ascii="黑体" w:hAnsi="黑体" w:eastAsia="黑体" w:cs="黑体"/>
              <w:bCs/>
              <w:szCs w:val="40"/>
              <w:lang w:val="zh-CN"/>
            </w:rPr>
            <w:fldChar w:fldCharType="end"/>
          </w:r>
        </w:p>
        <w:p>
          <w:pPr>
            <w:pStyle w:val="22"/>
            <w:tabs>
              <w:tab w:val="right" w:leader="dot" w:pos="9746"/>
            </w:tabs>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_Toc5473 </w:instrText>
          </w:r>
          <w:r>
            <w:rPr>
              <w:rFonts w:hint="eastAsia" w:ascii="黑体" w:hAnsi="黑体" w:eastAsia="黑体" w:cs="黑体"/>
              <w:bCs/>
              <w:szCs w:val="40"/>
              <w:lang w:val="zh-CN"/>
            </w:rPr>
            <w:fldChar w:fldCharType="separate"/>
          </w:r>
          <w:r>
            <w:rPr>
              <w:rFonts w:hint="eastAsia" w:ascii="宋体" w:hAnsi="宋体" w:cs="宋体"/>
              <w:szCs w:val="21"/>
            </w:rPr>
            <w:t>五、 诚信教育</w:t>
          </w:r>
          <w:r>
            <w:tab/>
          </w:r>
          <w:r>
            <w:fldChar w:fldCharType="begin"/>
          </w:r>
          <w:r>
            <w:instrText xml:space="preserve"> PAGEREF _Toc5473 </w:instrText>
          </w:r>
          <w:r>
            <w:fldChar w:fldCharType="separate"/>
          </w:r>
          <w:r>
            <w:t>18</w:t>
          </w:r>
          <w:r>
            <w:fldChar w:fldCharType="end"/>
          </w:r>
          <w:r>
            <w:rPr>
              <w:rFonts w:hint="eastAsia" w:ascii="黑体" w:hAnsi="黑体" w:eastAsia="黑体" w:cs="黑体"/>
              <w:bCs/>
              <w:szCs w:val="40"/>
              <w:lang w:val="zh-CN"/>
            </w:rPr>
            <w:fldChar w:fldCharType="end"/>
          </w:r>
        </w:p>
        <w:p>
          <w:pPr>
            <w:pStyle w:val="20"/>
            <w:tabs>
              <w:tab w:val="right" w:leader="dot" w:pos="9746"/>
            </w:tabs>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_Toc26491 </w:instrText>
          </w:r>
          <w:r>
            <w:rPr>
              <w:rFonts w:hint="eastAsia" w:ascii="黑体" w:hAnsi="黑体" w:eastAsia="黑体" w:cs="黑体"/>
              <w:bCs/>
              <w:szCs w:val="40"/>
              <w:lang w:val="zh-CN"/>
            </w:rPr>
            <w:fldChar w:fldCharType="separate"/>
          </w:r>
          <w:r>
            <w:rPr>
              <w:rFonts w:hint="eastAsia" w:hAnsi="宋体"/>
            </w:rPr>
            <w:t>五、 产品质量责任</w:t>
          </w:r>
          <w:r>
            <w:tab/>
          </w:r>
          <w:r>
            <w:fldChar w:fldCharType="begin"/>
          </w:r>
          <w:r>
            <w:instrText xml:space="preserve"> PAGEREF _Toc26491 </w:instrText>
          </w:r>
          <w:r>
            <w:fldChar w:fldCharType="separate"/>
          </w:r>
          <w:r>
            <w:t>18</w:t>
          </w:r>
          <w:r>
            <w:fldChar w:fldCharType="end"/>
          </w:r>
          <w:r>
            <w:rPr>
              <w:rFonts w:hint="eastAsia" w:ascii="黑体" w:hAnsi="黑体" w:eastAsia="黑体" w:cs="黑体"/>
              <w:bCs/>
              <w:szCs w:val="40"/>
              <w:lang w:val="zh-CN"/>
            </w:rPr>
            <w:fldChar w:fldCharType="end"/>
          </w:r>
        </w:p>
        <w:p>
          <w:pPr>
            <w:pStyle w:val="22"/>
            <w:tabs>
              <w:tab w:val="right" w:leader="dot" w:pos="9746"/>
            </w:tabs>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_Toc31660 </w:instrText>
          </w:r>
          <w:r>
            <w:rPr>
              <w:rFonts w:hint="eastAsia" w:ascii="黑体" w:hAnsi="黑体" w:eastAsia="黑体" w:cs="黑体"/>
              <w:bCs/>
              <w:szCs w:val="40"/>
              <w:lang w:val="zh-CN"/>
            </w:rPr>
            <w:fldChar w:fldCharType="separate"/>
          </w:r>
          <w:r>
            <w:rPr>
              <w:rFonts w:hint="eastAsia" w:ascii="宋体" w:hAnsi="宋体" w:cs="宋体"/>
              <w:szCs w:val="21"/>
            </w:rPr>
            <w:t>一、 产品质量承诺</w:t>
          </w:r>
          <w:r>
            <w:tab/>
          </w:r>
          <w:r>
            <w:fldChar w:fldCharType="begin"/>
          </w:r>
          <w:r>
            <w:instrText xml:space="preserve"> PAGEREF _Toc31660 </w:instrText>
          </w:r>
          <w:r>
            <w:fldChar w:fldCharType="separate"/>
          </w:r>
          <w:r>
            <w:t>18</w:t>
          </w:r>
          <w:r>
            <w:fldChar w:fldCharType="end"/>
          </w:r>
          <w:r>
            <w:rPr>
              <w:rFonts w:hint="eastAsia" w:ascii="黑体" w:hAnsi="黑体" w:eastAsia="黑体" w:cs="黑体"/>
              <w:bCs/>
              <w:szCs w:val="40"/>
              <w:lang w:val="zh-CN"/>
            </w:rPr>
            <w:fldChar w:fldCharType="end"/>
          </w:r>
        </w:p>
        <w:p>
          <w:pPr>
            <w:pStyle w:val="22"/>
            <w:tabs>
              <w:tab w:val="right" w:leader="dot" w:pos="9746"/>
            </w:tabs>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_Toc8718 </w:instrText>
          </w:r>
          <w:r>
            <w:rPr>
              <w:rFonts w:hint="eastAsia" w:ascii="黑体" w:hAnsi="黑体" w:eastAsia="黑体" w:cs="黑体"/>
              <w:bCs/>
              <w:szCs w:val="40"/>
              <w:lang w:val="zh-CN"/>
            </w:rPr>
            <w:fldChar w:fldCharType="separate"/>
          </w:r>
          <w:r>
            <w:rPr>
              <w:rFonts w:hint="eastAsia" w:ascii="宋体" w:hAnsi="宋体" w:cs="宋体"/>
              <w:szCs w:val="21"/>
            </w:rPr>
            <w:t>二、 生产许可情况</w:t>
          </w:r>
          <w:r>
            <w:tab/>
          </w:r>
          <w:r>
            <w:fldChar w:fldCharType="begin"/>
          </w:r>
          <w:r>
            <w:instrText xml:space="preserve"> PAGEREF _Toc8718 </w:instrText>
          </w:r>
          <w:r>
            <w:fldChar w:fldCharType="separate"/>
          </w:r>
          <w:r>
            <w:t>19</w:t>
          </w:r>
          <w:r>
            <w:fldChar w:fldCharType="end"/>
          </w:r>
          <w:r>
            <w:rPr>
              <w:rFonts w:hint="eastAsia" w:ascii="黑体" w:hAnsi="黑体" w:eastAsia="黑体" w:cs="黑体"/>
              <w:bCs/>
              <w:szCs w:val="40"/>
              <w:lang w:val="zh-CN"/>
            </w:rPr>
            <w:fldChar w:fldCharType="end"/>
          </w:r>
        </w:p>
        <w:p>
          <w:pPr>
            <w:pStyle w:val="20"/>
            <w:tabs>
              <w:tab w:val="right" w:leader="dot" w:pos="9746"/>
            </w:tabs>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_Toc16054 </w:instrText>
          </w:r>
          <w:r>
            <w:rPr>
              <w:rFonts w:hint="eastAsia" w:ascii="黑体" w:hAnsi="黑体" w:eastAsia="黑体" w:cs="黑体"/>
              <w:bCs/>
              <w:szCs w:val="40"/>
              <w:lang w:val="zh-CN"/>
            </w:rPr>
            <w:fldChar w:fldCharType="separate"/>
          </w:r>
          <w:r>
            <w:rPr>
              <w:rFonts w:hint="eastAsia" w:ascii="华文新魏" w:eastAsia="华文新魏" w:cs="黑体"/>
              <w:bCs w:val="0"/>
              <w:kern w:val="0"/>
              <w:lang w:val="en-US"/>
            </w:rPr>
            <w:t>结 束 语</w:t>
          </w:r>
          <w:r>
            <w:tab/>
          </w:r>
          <w:r>
            <w:fldChar w:fldCharType="begin"/>
          </w:r>
          <w:r>
            <w:instrText xml:space="preserve"> PAGEREF _Toc16054 </w:instrText>
          </w:r>
          <w:r>
            <w:fldChar w:fldCharType="separate"/>
          </w:r>
          <w:r>
            <w:t>20</w:t>
          </w:r>
          <w:r>
            <w:fldChar w:fldCharType="end"/>
          </w:r>
          <w:r>
            <w:rPr>
              <w:rFonts w:hint="eastAsia" w:ascii="黑体" w:hAnsi="黑体" w:eastAsia="黑体" w:cs="黑体"/>
              <w:bCs/>
              <w:szCs w:val="40"/>
              <w:lang w:val="zh-CN"/>
            </w:rPr>
            <w:fldChar w:fldCharType="end"/>
          </w:r>
        </w:p>
        <w:p>
          <w:pPr>
            <w:rPr>
              <w:rFonts w:ascii="宋体" w:cs="宋体"/>
              <w:sz w:val="26"/>
              <w:szCs w:val="26"/>
            </w:rPr>
            <w:sectPr>
              <w:footerReference r:id="rId7" w:type="default"/>
              <w:pgSz w:w="11906" w:h="16838"/>
              <w:pgMar w:top="1440" w:right="1080" w:bottom="1440" w:left="1080" w:header="851" w:footer="992" w:gutter="0"/>
              <w:cols w:space="425" w:num="1"/>
              <w:docGrid w:type="lines" w:linePitch="312" w:charSpace="0"/>
            </w:sectPr>
          </w:pPr>
          <w:r>
            <w:rPr>
              <w:rFonts w:hint="eastAsia" w:ascii="黑体" w:hAnsi="黑体" w:eastAsia="黑体" w:cs="黑体"/>
              <w:bCs/>
              <w:szCs w:val="40"/>
              <w:lang w:val="zh-CN"/>
            </w:rPr>
            <w:fldChar w:fldCharType="end"/>
          </w:r>
        </w:p>
      </w:sdtContent>
    </w:sdt>
    <w:p>
      <w:pPr>
        <w:pStyle w:val="4"/>
        <w:spacing w:after="240"/>
        <w:jc w:val="center"/>
      </w:pPr>
      <w:bookmarkStart w:id="1" w:name="_Toc14677"/>
      <w:bookmarkStart w:id="2" w:name="_Hlk8482454"/>
      <w:r>
        <w:rPr>
          <w:rFonts w:hint="eastAsia"/>
        </w:rPr>
        <w:t>前言</w:t>
      </w:r>
      <w:bookmarkEnd w:id="1"/>
    </w:p>
    <w:p>
      <w:pPr>
        <w:ind w:firstLine="480" w:firstLineChars="200"/>
        <w:rPr>
          <w:rFonts w:ascii="宋体" w:hAnsi="宋体" w:cs="宋体"/>
          <w:color w:val="000000"/>
          <w:sz w:val="24"/>
          <w:szCs w:val="24"/>
        </w:rPr>
      </w:pPr>
      <w:r>
        <w:rPr>
          <w:rFonts w:hint="eastAsia" w:ascii="宋体" w:hAnsi="宋体" w:cs="宋体"/>
          <w:color w:val="000000"/>
          <w:sz w:val="24"/>
          <w:szCs w:val="24"/>
        </w:rPr>
        <w:t>本报告为</w:t>
      </w:r>
      <w:r>
        <w:rPr>
          <w:rFonts w:hint="eastAsia" w:ascii="宋体" w:hAnsi="宋体" w:cs="宋体"/>
          <w:color w:val="000000"/>
          <w:sz w:val="24"/>
          <w:szCs w:val="24"/>
          <w:lang w:eastAsia="zh-CN"/>
        </w:rPr>
        <w:t>钱江集团温岭正峰动力有限公司</w:t>
      </w:r>
      <w:r>
        <w:rPr>
          <w:rFonts w:hint="eastAsia" w:ascii="宋体" w:hAnsi="宋体" w:cs="宋体"/>
          <w:color w:val="000000"/>
          <w:sz w:val="24"/>
          <w:szCs w:val="24"/>
        </w:rPr>
        <w:t xml:space="preserve"> （以下简称为</w:t>
      </w:r>
      <w:r>
        <w:rPr>
          <w:rFonts w:hint="eastAsia" w:ascii="宋体" w:hAnsi="宋体" w:eastAsia="宋体" w:cs="宋体"/>
          <w:color w:val="000000"/>
          <w:sz w:val="24"/>
          <w:szCs w:val="24"/>
          <w:lang w:eastAsia="zh-CN"/>
        </w:rPr>
        <w:t>“</w:t>
      </w:r>
      <w:r>
        <w:rPr>
          <w:rFonts w:hint="eastAsia" w:ascii="宋体" w:hAnsi="宋体" w:cs="宋体"/>
          <w:color w:val="000000"/>
          <w:sz w:val="24"/>
          <w:szCs w:val="24"/>
        </w:rPr>
        <w:t>本公司</w:t>
      </w:r>
      <w:r>
        <w:rPr>
          <w:rFonts w:hint="eastAsia" w:ascii="宋体" w:hAnsi="宋体" w:eastAsia="宋体" w:cs="宋体"/>
          <w:color w:val="000000"/>
          <w:sz w:val="24"/>
          <w:szCs w:val="24"/>
          <w:lang w:eastAsia="zh-CN"/>
        </w:rPr>
        <w:t>”</w:t>
      </w:r>
      <w:r>
        <w:rPr>
          <w:rFonts w:hint="eastAsia" w:ascii="宋体" w:hAnsi="宋体" w:cs="宋体"/>
          <w:color w:val="000000"/>
          <w:sz w:val="24"/>
          <w:szCs w:val="24"/>
        </w:rPr>
        <w:t>或</w:t>
      </w:r>
      <w:r>
        <w:rPr>
          <w:rFonts w:hint="eastAsia" w:ascii="宋体" w:hAnsi="宋体" w:eastAsia="宋体" w:cs="宋体"/>
          <w:color w:val="000000"/>
          <w:sz w:val="24"/>
          <w:szCs w:val="24"/>
          <w:lang w:eastAsia="zh-CN"/>
        </w:rPr>
        <w:t>“</w:t>
      </w:r>
      <w:r>
        <w:rPr>
          <w:rFonts w:hint="eastAsia" w:ascii="宋体" w:hAnsi="宋体" w:cs="宋体"/>
          <w:color w:val="000000"/>
          <w:sz w:val="24"/>
          <w:szCs w:val="24"/>
        </w:rPr>
        <w:t>公司</w:t>
      </w:r>
      <w:r>
        <w:rPr>
          <w:rFonts w:hint="eastAsia" w:ascii="宋体" w:hAnsi="宋体" w:eastAsia="宋体" w:cs="宋体"/>
          <w:color w:val="000000"/>
          <w:sz w:val="24"/>
          <w:szCs w:val="24"/>
          <w:lang w:eastAsia="zh-CN"/>
        </w:rPr>
        <w:t>”</w:t>
      </w:r>
      <w:r>
        <w:rPr>
          <w:rFonts w:hint="eastAsia" w:ascii="宋体" w:hAnsi="宋体" w:cs="宋体"/>
          <w:color w:val="000000"/>
          <w:sz w:val="24"/>
          <w:szCs w:val="24"/>
        </w:rPr>
        <w:t>）首次公开发布的《</w:t>
      </w:r>
      <w:r>
        <w:rPr>
          <w:rFonts w:hint="eastAsia" w:ascii="宋体" w:hAnsi="宋体" w:cs="宋体"/>
          <w:color w:val="000000"/>
          <w:sz w:val="24"/>
          <w:szCs w:val="24"/>
          <w:lang w:eastAsia="zh-CN"/>
        </w:rPr>
        <w:t>质量诚信报告</w:t>
      </w:r>
      <w:r>
        <w:rPr>
          <w:rFonts w:hint="eastAsia" w:ascii="宋体" w:hAnsi="宋体" w:cs="宋体"/>
          <w:color w:val="000000"/>
          <w:sz w:val="24"/>
          <w:szCs w:val="24"/>
        </w:rPr>
        <w:t>》。本公司保证报告中所载资料不存在任何虚假记载、误导性陈述，并对其内容的真实性、准确性承担责任。</w:t>
      </w:r>
      <w:bookmarkEnd w:id="2"/>
    </w:p>
    <w:p>
      <w:pPr>
        <w:ind w:firstLine="480" w:firstLineChars="200"/>
        <w:rPr>
          <w:rFonts w:ascii="黑体" w:eastAsia="黑体" w:cs="黑体"/>
          <w:color w:val="000000"/>
          <w:sz w:val="24"/>
          <w:szCs w:val="24"/>
        </w:rPr>
      </w:pPr>
      <w:r>
        <w:rPr>
          <w:rFonts w:hint="eastAsia" w:ascii="黑体" w:eastAsia="黑体" w:cs="黑体"/>
          <w:color w:val="000000"/>
          <w:sz w:val="24"/>
          <w:szCs w:val="24"/>
        </w:rPr>
        <w:t>报告范围：</w:t>
      </w:r>
    </w:p>
    <w:p>
      <w:pPr>
        <w:ind w:firstLine="480" w:firstLineChars="200"/>
        <w:rPr>
          <w:rFonts w:ascii="宋体" w:hAnsi="宋体" w:cs="宋体"/>
          <w:color w:val="000000"/>
          <w:sz w:val="24"/>
          <w:szCs w:val="24"/>
        </w:rPr>
      </w:pPr>
      <w:r>
        <w:rPr>
          <w:rFonts w:hint="eastAsia" w:ascii="宋体" w:hAnsi="宋体" w:cs="宋体"/>
          <w:color w:val="000000"/>
          <w:sz w:val="24"/>
          <w:szCs w:val="24"/>
        </w:rPr>
        <w:t>本报告的组织范围为</w:t>
      </w:r>
      <w:r>
        <w:rPr>
          <w:rFonts w:hint="eastAsia" w:ascii="宋体" w:hAnsi="宋体" w:cs="宋体"/>
          <w:color w:val="000000"/>
          <w:sz w:val="24"/>
          <w:szCs w:val="24"/>
          <w:lang w:eastAsia="zh-CN"/>
        </w:rPr>
        <w:t>钱江集团温岭正峰动力有限公司</w:t>
      </w:r>
      <w:r>
        <w:rPr>
          <w:rFonts w:hint="eastAsia" w:ascii="宋体" w:hAnsi="宋体" w:cs="宋体"/>
          <w:color w:val="000000"/>
          <w:sz w:val="24"/>
          <w:szCs w:val="24"/>
        </w:rPr>
        <w:t xml:space="preserve"> 。本报告描述了202</w:t>
      </w:r>
      <w:r>
        <w:rPr>
          <w:rFonts w:hint="eastAsia" w:ascii="宋体" w:hAnsi="宋体" w:cs="宋体"/>
          <w:color w:val="000000"/>
          <w:sz w:val="24"/>
          <w:szCs w:val="24"/>
          <w:lang w:val="en-US" w:eastAsia="zh-CN"/>
        </w:rPr>
        <w:t>1</w:t>
      </w:r>
      <w:r>
        <w:rPr>
          <w:rFonts w:hint="eastAsia" w:ascii="宋体" w:hAnsi="宋体" w:cs="宋体"/>
          <w:color w:val="000000"/>
          <w:sz w:val="24"/>
          <w:szCs w:val="24"/>
        </w:rPr>
        <w:t>年1月1日至 12月31日期间，公司在</w:t>
      </w:r>
      <w:r>
        <w:rPr>
          <w:rFonts w:hint="eastAsia" w:ascii="宋体" w:hAnsi="宋体" w:cs="宋体"/>
          <w:color w:val="000000"/>
          <w:sz w:val="24"/>
          <w:szCs w:val="24"/>
          <w:lang w:val="en-US" w:eastAsia="zh-CN"/>
        </w:rPr>
        <w:t>质量诚信</w:t>
      </w:r>
      <w:r>
        <w:rPr>
          <w:rFonts w:hint="eastAsia" w:ascii="宋体" w:hAnsi="宋体" w:cs="宋体"/>
          <w:color w:val="000000"/>
          <w:sz w:val="24"/>
          <w:szCs w:val="24"/>
        </w:rPr>
        <w:t>等方面的理念、 制度、采取的措施和取得的绩效等。</w:t>
      </w:r>
    </w:p>
    <w:p>
      <w:pPr>
        <w:ind w:firstLine="480" w:firstLineChars="200"/>
        <w:rPr>
          <w:rFonts w:ascii="宋体" w:hAnsi="宋体" w:cs="宋体"/>
          <w:color w:val="000000"/>
          <w:sz w:val="24"/>
          <w:szCs w:val="24"/>
        </w:rPr>
      </w:pPr>
      <w:r>
        <w:rPr>
          <w:rFonts w:hint="eastAsia" w:ascii="黑体" w:eastAsia="黑体" w:cs="黑体"/>
          <w:color w:val="000000"/>
          <w:sz w:val="24"/>
          <w:szCs w:val="24"/>
        </w:rPr>
        <w:t>报告发布形式</w:t>
      </w:r>
      <w:r>
        <w:rPr>
          <w:rFonts w:hint="eastAsia" w:ascii="宋体" w:hAnsi="宋体" w:cs="宋体"/>
          <w:color w:val="000000"/>
          <w:sz w:val="24"/>
          <w:szCs w:val="24"/>
        </w:rPr>
        <w:t xml:space="preserve">： </w:t>
      </w:r>
    </w:p>
    <w:p>
      <w:pPr>
        <w:ind w:firstLine="480" w:firstLineChars="200"/>
        <w:rPr>
          <w:rFonts w:ascii="宋体" w:hAnsi="宋体" w:cs="宋体"/>
          <w:color w:val="000000"/>
          <w:sz w:val="24"/>
          <w:szCs w:val="24"/>
        </w:rPr>
        <w:sectPr>
          <w:footerReference r:id="rId8" w:type="default"/>
          <w:pgSz w:w="11906" w:h="16838"/>
          <w:pgMar w:top="1440" w:right="1080" w:bottom="1440" w:left="1080" w:header="851" w:footer="992" w:gutter="0"/>
          <w:cols w:space="425" w:num="1"/>
          <w:docGrid w:type="lines" w:linePitch="312" w:charSpace="0"/>
        </w:sectPr>
      </w:pPr>
      <w:r>
        <w:rPr>
          <w:rFonts w:hint="eastAsia" w:ascii="宋体" w:hAnsi="宋体" w:cs="宋体"/>
          <w:color w:val="000000"/>
          <w:sz w:val="24"/>
          <w:szCs w:val="24"/>
        </w:rPr>
        <w:t>本公司一至二年定期发布一次</w:t>
      </w:r>
      <w:r>
        <w:rPr>
          <w:rFonts w:hint="eastAsia" w:ascii="宋体" w:hAnsi="宋体" w:cs="宋体"/>
          <w:color w:val="000000"/>
          <w:sz w:val="24"/>
          <w:szCs w:val="24"/>
          <w:lang w:eastAsia="zh-CN"/>
        </w:rPr>
        <w:t>质量诚信报告</w:t>
      </w:r>
      <w:r>
        <w:rPr>
          <w:rFonts w:hint="eastAsia" w:ascii="宋体" w:hAnsi="宋体" w:cs="宋体"/>
          <w:color w:val="000000"/>
          <w:sz w:val="24"/>
          <w:szCs w:val="24"/>
        </w:rPr>
        <w:t>，本报告以PDF电子文档形式在本公司</w:t>
      </w:r>
      <w:r>
        <w:rPr>
          <w:rFonts w:hint="eastAsia" w:ascii="宋体" w:hAnsi="宋体" w:cs="宋体"/>
          <w:color w:val="000000"/>
          <w:sz w:val="24"/>
          <w:szCs w:val="24"/>
          <w:lang w:val="en-US" w:eastAsia="zh-Hans"/>
        </w:rPr>
        <w:t>官网</w:t>
      </w:r>
      <w:r>
        <w:rPr>
          <w:rFonts w:hint="eastAsia" w:ascii="宋体" w:hAnsi="宋体" w:cs="宋体"/>
          <w:color w:val="000000"/>
          <w:sz w:val="24"/>
          <w:szCs w:val="24"/>
        </w:rPr>
        <w:t>向社会公布，欢迎下载阅读并提出宝贵意见。</w:t>
      </w:r>
    </w:p>
    <w:p>
      <w:pPr>
        <w:pStyle w:val="4"/>
        <w:spacing w:after="240"/>
        <w:jc w:val="center"/>
      </w:pPr>
      <w:bookmarkStart w:id="3" w:name="_Toc28806"/>
      <w:r>
        <w:rPr>
          <w:rFonts w:hint="eastAsia"/>
        </w:rPr>
        <w:t>一、企业简介</w:t>
      </w:r>
      <w:bookmarkEnd w:id="3"/>
    </w:p>
    <w:p>
      <w:pPr>
        <w:pStyle w:val="95"/>
        <w:rPr>
          <w:rFonts w:hint="eastAsia"/>
          <w:color w:val="auto"/>
          <w:lang w:eastAsia="zh-CN"/>
        </w:rPr>
      </w:pPr>
      <w:bookmarkStart w:id="4" w:name="_Toc528402783"/>
      <w:r>
        <w:rPr>
          <w:rFonts w:hint="eastAsia"/>
          <w:color w:val="auto"/>
          <w:lang w:eastAsia="zh-CN"/>
        </w:rPr>
        <w:t>钱江集团温岭正峰动力有限公司（以下简称公司或正峰），公司成立于2003年，地处台州市温岭市，交通便利。公司精神的基础是以人为本，以科学发展观为指导，立足于社会经济发展、实现人生目标，致力于先富带动后富，承担社会责任改善区域民生。并在企业的发展过程中不断地凝练、升华，能够使员工最大程度上地激发自身潜能、发挥创造力和主观能动性，与企业互利共生、携手并进，从而提高企业的向心力和凝聚力。</w:t>
      </w:r>
    </w:p>
    <w:p>
      <w:pPr>
        <w:pStyle w:val="95"/>
        <w:rPr>
          <w:rFonts w:hint="eastAsia"/>
          <w:color w:val="auto"/>
          <w:lang w:eastAsia="zh-CN"/>
        </w:rPr>
      </w:pPr>
      <w:r>
        <w:rPr>
          <w:rFonts w:hint="eastAsia"/>
          <w:color w:val="auto"/>
          <w:lang w:eastAsia="zh-CN"/>
        </w:rPr>
        <w:t>优秀的技术创新能力、强大的生产能力和及时发现并满足客户潜在、现实需求的能力为公司三大核心竞争力。而支撑这三大能力的基础则是公司拥有一批优秀的技术、管理和销售人才。企业拥有一支经验丰富的专业技术人员、管理人员、营销人员。从设计、生产、管控、销售及售后服务都有一套成熟有效的管理制度，产品质量得到了有效的管控，产品品种及销售量逐年提高，在国内外建立了良好的信誉，奠定了在行业的重要地位。并多次获得台州市人民政府的嘉奖。</w:t>
      </w:r>
    </w:p>
    <w:p>
      <w:pPr>
        <w:pStyle w:val="95"/>
        <w:rPr>
          <w:rFonts w:hint="eastAsia"/>
          <w:color w:val="auto"/>
          <w:lang w:eastAsia="zh-CN"/>
        </w:rPr>
      </w:pPr>
      <w:r>
        <w:rPr>
          <w:rFonts w:hint="eastAsia"/>
          <w:color w:val="auto"/>
          <w:lang w:eastAsia="zh-CN"/>
        </w:rPr>
        <w:t>公司集自主设计、开发及生产一体化，主导产品为：园林机械及配件、农林机械及配件、电动工具及配件、热水器及配件、水泵及配件、电动自行车及配件、汽油机自行车及配件、发电机及配件、电动滑板车及配件、汽油机滑板车及配件、空压机及配件、高压水枪及配件、内燃机及配件、暖风机及配件、童车及配件、沙滩车及配件、卡丁车及配件、越野车及配件、场地赛车及配件、越野赛车及配件、汽车用品的制造等一系列产品。产品出口多个国家和地区及行销国内各省市。公司设立了专业品质管控队伍，同时还建立产品性能检测室，严格控制生产过程中每一道工序的质量。并通过了ISO9001质量管理体系</w:t>
      </w:r>
      <w:r>
        <w:rPr>
          <w:rFonts w:hint="default"/>
          <w:color w:val="auto"/>
          <w:lang w:eastAsia="zh-CN"/>
        </w:rPr>
        <w:t>，</w:t>
      </w:r>
      <w:bookmarkStart w:id="21" w:name="_GoBack"/>
      <w:bookmarkEnd w:id="21"/>
      <w:r>
        <w:rPr>
          <w:rFonts w:hint="eastAsia"/>
          <w:color w:val="auto"/>
          <w:lang w:eastAsia="zh-CN"/>
        </w:rPr>
        <w:t xml:space="preserve">ISO14001环境管理体系和ISO45001职业健康安全管理体系认证。 </w:t>
      </w:r>
    </w:p>
    <w:p>
      <w:pPr>
        <w:pStyle w:val="95"/>
        <w:rPr>
          <w:rFonts w:hint="eastAsia"/>
          <w:color w:val="auto"/>
        </w:rPr>
      </w:pPr>
      <w:r>
        <w:rPr>
          <w:rFonts w:hint="eastAsia"/>
          <w:color w:val="auto"/>
          <w:lang w:eastAsia="zh-CN"/>
        </w:rPr>
        <w:t>正峰以缔造行业细分领域的隐形冠军为愿景，以诚信、严谨、创新、卓越为核心价值观，以成为客户紧密合作的战略伙伴，让客户享受高科技、新技术的美好生活为使命, 公司秉承“顾客至上，锐意进缺的经营理念，坚持“客户”的原则为广大客户提供优质的服务。</w:t>
      </w:r>
    </w:p>
    <w:p>
      <w:pPr>
        <w:ind w:firstLine="480"/>
        <w:jc w:val="center"/>
        <w:rPr>
          <w:rFonts w:hint="eastAsia"/>
          <w:b/>
          <w:bCs/>
          <w:sz w:val="21"/>
          <w:szCs w:val="21"/>
        </w:rPr>
      </w:pPr>
      <w:r>
        <w:rPr>
          <w:rFonts w:hint="eastAsia"/>
          <w:b/>
          <w:bCs/>
          <w:sz w:val="21"/>
          <w:szCs w:val="21"/>
        </w:rPr>
        <w:t>产品介绍</w:t>
      </w:r>
    </w:p>
    <w:p>
      <w:pPr>
        <w:pStyle w:val="95"/>
        <w:rPr>
          <w:rFonts w:hint="eastAsia"/>
          <w:color w:val="auto"/>
        </w:rPr>
      </w:pPr>
      <w:bookmarkStart w:id="5" w:name="_Hlk59522777"/>
      <w:r>
        <w:rPr>
          <w:rFonts w:hint="eastAsia" w:cs="宋体"/>
          <w:color w:val="000000"/>
          <w:kern w:val="0"/>
          <w:sz w:val="24"/>
          <w:lang w:eastAsia="zh-CN"/>
        </w:rPr>
        <w:t>正峰</w:t>
      </w:r>
      <w:r>
        <w:rPr>
          <w:rFonts w:hint="eastAsia" w:ascii="宋体" w:hAnsi="宋体" w:cs="宋体"/>
          <w:color w:val="000000"/>
          <w:kern w:val="0"/>
          <w:sz w:val="24"/>
          <w:lang w:eastAsia="zh-CN"/>
        </w:rPr>
        <w:t>依托强大的研发力量，根据市场需求，</w:t>
      </w:r>
      <w:r>
        <w:rPr>
          <w:rFonts w:hint="eastAsia"/>
          <w:color w:val="auto"/>
        </w:rPr>
        <w:t>结合公司的战略及自身优势，确定产品定位、识别顾客和市场需求，不断创新，开发各种产品，满足不同类型的顾客和市场。</w:t>
      </w:r>
    </w:p>
    <w:p>
      <w:pPr>
        <w:pStyle w:val="95"/>
        <w:rPr>
          <w:rFonts w:hint="eastAsia" w:ascii="宋体" w:hAnsi="宋体" w:cs="宋体"/>
          <w:color w:val="000000"/>
          <w:kern w:val="0"/>
          <w:sz w:val="24"/>
          <w:lang w:eastAsia="zh-CN"/>
        </w:rPr>
      </w:pPr>
      <w:r>
        <w:rPr>
          <w:rFonts w:hint="eastAsia" w:ascii="宋体" w:hAnsi="宋体" w:cs="宋体"/>
          <w:color w:val="000000"/>
          <w:kern w:val="0"/>
          <w:sz w:val="24"/>
          <w:lang w:val="en-US" w:eastAsia="zh-CN"/>
        </w:rPr>
        <w:t>目前公司主要产品线包括园林机械及配件、农林机械及配件、电动工具及配件、热水器及配件、水泵及配件、电动自行车及配件、汽油机自行车及配件、发电机及配件、电动滑板车及配件、汽油机滑板车及配件、空压机及配件、高压水枪及配件、内燃机及配件、暖风机及配件、童车及配件、沙滩车及配件、卡丁车及配件、越野车及配件、场地赛车及配件、越野赛车及配件、汽车用品的制造等一系列产品。公司产品除畅销国内之外, 还远销欧洲，北美、澳大利亚等三十多个国家和地区</w:t>
      </w:r>
      <w:r>
        <w:rPr>
          <w:rFonts w:hint="eastAsia" w:cs="宋体"/>
          <w:color w:val="000000"/>
          <w:kern w:val="0"/>
          <w:sz w:val="24"/>
          <w:lang w:val="en-US" w:eastAsia="zh-CN"/>
        </w:rPr>
        <w:t>。</w:t>
      </w:r>
    </w:p>
    <w:p>
      <w:pPr>
        <w:ind w:firstLine="480"/>
        <w:jc w:val="center"/>
      </w:pPr>
      <w:r>
        <w:rPr>
          <w:rFonts w:hint="eastAsia"/>
          <w:b/>
          <w:bCs/>
          <w:i w:val="0"/>
          <w:iCs w:val="0"/>
          <w:lang w:val="en-US" w:eastAsia="zh-Hans"/>
        </w:rPr>
        <w:t>公司</w:t>
      </w:r>
      <w:r>
        <w:rPr>
          <w:rFonts w:hint="eastAsia" w:ascii="宋体" w:hAnsi="宋体" w:cs="宋体"/>
          <w:b/>
          <w:bCs/>
          <w:color w:val="000000"/>
          <w:szCs w:val="20"/>
        </w:rPr>
        <w:t>产品</w:t>
      </w:r>
      <w:r>
        <w:rPr>
          <w:rFonts w:hint="eastAsia" w:ascii="宋体" w:hAnsi="宋体" w:cs="宋体"/>
          <w:b/>
          <w:bCs/>
          <w:color w:val="000000"/>
          <w:szCs w:val="20"/>
          <w:lang w:val="en-US" w:eastAsia="zh-CN"/>
        </w:rPr>
        <w:t>展示</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4705350" cy="1476375"/>
            <wp:effectExtent l="0" t="0" r="0" b="9525"/>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4"/>
                    <a:stretch>
                      <a:fillRect/>
                    </a:stretch>
                  </pic:blipFill>
                  <pic:spPr>
                    <a:xfrm>
                      <a:off x="0" y="0"/>
                      <a:ext cx="4705350" cy="1476375"/>
                    </a:xfrm>
                    <a:prstGeom prst="rect">
                      <a:avLst/>
                    </a:prstGeom>
                    <a:noFill/>
                    <a:ln w="9525">
                      <a:noFill/>
                    </a:ln>
                  </pic:spPr>
                </pic:pic>
              </a:graphicData>
            </a:graphic>
          </wp:inline>
        </w:drawing>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4276725" cy="1476375"/>
            <wp:effectExtent l="0" t="0" r="9525" b="9525"/>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15"/>
                    <a:stretch>
                      <a:fillRect/>
                    </a:stretch>
                  </pic:blipFill>
                  <pic:spPr>
                    <a:xfrm>
                      <a:off x="0" y="0"/>
                      <a:ext cx="4276725" cy="1476375"/>
                    </a:xfrm>
                    <a:prstGeom prst="rect">
                      <a:avLst/>
                    </a:prstGeom>
                    <a:noFill/>
                    <a:ln w="9525">
                      <a:noFill/>
                    </a:ln>
                  </pic:spPr>
                </pic:pic>
              </a:graphicData>
            </a:graphic>
          </wp:inline>
        </w:drawing>
      </w:r>
    </w:p>
    <w:p>
      <w:pPr>
        <w:tabs>
          <w:tab w:val="left" w:pos="3654"/>
        </w:tabs>
        <w:adjustRightInd w:val="0"/>
        <w:snapToGrid w:val="0"/>
        <w:spacing w:line="360" w:lineRule="auto"/>
        <w:jc w:val="center"/>
        <w:rPr>
          <w:rFonts w:hint="eastAsia"/>
        </w:rPr>
      </w:pPr>
    </w:p>
    <w:p>
      <w:pPr>
        <w:tabs>
          <w:tab w:val="left" w:pos="3654"/>
        </w:tabs>
        <w:adjustRightInd w:val="0"/>
        <w:snapToGrid w:val="0"/>
        <w:spacing w:line="360" w:lineRule="auto"/>
        <w:jc w:val="left"/>
        <w:rPr>
          <w:rFonts w:hint="eastAsia"/>
        </w:rPr>
      </w:pPr>
    </w:p>
    <w:p>
      <w:pPr>
        <w:keepNext w:val="0"/>
        <w:keepLines w:val="0"/>
        <w:widowControl/>
        <w:suppressLineNumbers w:val="0"/>
        <w:spacing w:before="0" w:beforeAutospacing="0" w:after="0" w:afterAutospacing="0"/>
        <w:ind w:left="0" w:right="0"/>
        <w:jc w:val="both"/>
        <w:rPr>
          <w:rFonts w:hint="eastAsia" w:ascii="Times New Roman" w:hAnsi="Times New Roman"/>
          <w:sz w:val="24"/>
          <w:szCs w:val="24"/>
          <w:lang w:val="en-US" w:eastAsia="zh-CN"/>
        </w:rPr>
      </w:pPr>
      <w:r>
        <w:rPr>
          <w:rFonts w:hint="eastAsia" w:ascii="Times New Roman" w:hAnsi="Times New Roman"/>
          <w:sz w:val="24"/>
          <w:szCs w:val="24"/>
          <w:lang w:eastAsia="zh-CN"/>
        </w:rPr>
        <w:t>公司</w:t>
      </w:r>
      <w:bookmarkEnd w:id="5"/>
      <w:r>
        <w:rPr>
          <w:rFonts w:hint="eastAsia" w:ascii="Times New Roman" w:hAnsi="Times New Roman"/>
          <w:sz w:val="24"/>
          <w:szCs w:val="24"/>
          <w:lang w:eastAsia="zh-CN"/>
        </w:rPr>
        <w:t>结合自身实际，建立了完善的质量管理体系，贯彻以原料稳定、工艺稳定、操作稳定最终确保质量稳定的</w:t>
      </w:r>
      <w:r>
        <w:rPr>
          <w:rFonts w:hint="eastAsia" w:ascii="宋体" w:hAnsi="宋体"/>
          <w:sz w:val="24"/>
          <w:lang w:val="en-US" w:eastAsia="zh-CN"/>
        </w:rPr>
        <w:t>方针。</w:t>
      </w:r>
      <w:r>
        <w:rPr>
          <w:rFonts w:hint="eastAsia" w:ascii="Times New Roman" w:hAnsi="Times New Roman"/>
          <w:sz w:val="24"/>
          <w:szCs w:val="24"/>
          <w:lang w:val="en-US" w:eastAsia="zh-CN"/>
        </w:rPr>
        <w:t>公司配备了</w:t>
      </w:r>
      <w:r>
        <w:rPr>
          <w:rFonts w:hint="default" w:ascii="宋体" w:hAnsi="宋体"/>
          <w:sz w:val="24"/>
          <w:lang w:eastAsia="zh-CN"/>
        </w:rPr>
        <w:t>发动机排放测量分析系统</w:t>
      </w:r>
      <w:r>
        <w:rPr>
          <w:rFonts w:hint="eastAsia" w:ascii="宋体" w:hAnsi="宋体"/>
          <w:sz w:val="24"/>
          <w:lang w:val="en-US" w:eastAsia="zh-CN"/>
        </w:rPr>
        <w:t>、</w:t>
      </w:r>
      <w:r>
        <w:rPr>
          <w:rFonts w:hint="default" w:ascii="宋体" w:hAnsi="宋体"/>
          <w:sz w:val="24"/>
          <w:lang w:eastAsia="zh-CN"/>
        </w:rPr>
        <w:t>发动机排放稀释取样系统</w:t>
      </w:r>
      <w:r>
        <w:rPr>
          <w:rFonts w:hint="eastAsia" w:ascii="宋体" w:hAnsi="宋体"/>
          <w:sz w:val="24"/>
          <w:lang w:val="en-US" w:eastAsia="zh-CN"/>
        </w:rPr>
        <w:t>、</w:t>
      </w:r>
      <w:r>
        <w:rPr>
          <w:rFonts w:hint="default" w:ascii="宋体" w:hAnsi="宋体"/>
          <w:sz w:val="24"/>
          <w:lang w:eastAsia="zh-CN"/>
        </w:rPr>
        <w:t>能量色散X荧光仪</w:t>
      </w:r>
      <w:r>
        <w:rPr>
          <w:rFonts w:hint="eastAsia" w:ascii="宋体" w:hAnsi="宋体"/>
          <w:sz w:val="24"/>
          <w:lang w:val="en-US" w:eastAsia="zh-CN"/>
        </w:rPr>
        <w:t>、</w:t>
      </w:r>
      <w:r>
        <w:rPr>
          <w:rFonts w:hint="default" w:ascii="宋体" w:hAnsi="宋体"/>
          <w:sz w:val="24"/>
          <w:lang w:eastAsia="zh-CN"/>
        </w:rPr>
        <w:t>交流测攻机</w:t>
      </w:r>
      <w:r>
        <w:rPr>
          <w:rFonts w:hint="eastAsia" w:ascii="宋体" w:hAnsi="宋体"/>
          <w:sz w:val="24"/>
          <w:lang w:val="en-US" w:eastAsia="zh-CN"/>
        </w:rPr>
        <w:t>、</w:t>
      </w:r>
      <w:r>
        <w:rPr>
          <w:rFonts w:hint="default" w:ascii="宋体" w:hAnsi="宋体"/>
          <w:sz w:val="24"/>
          <w:lang w:eastAsia="zh-CN"/>
        </w:rPr>
        <w:t>测功机</w:t>
      </w:r>
      <w:r>
        <w:rPr>
          <w:rFonts w:hint="eastAsia" w:ascii="宋体" w:hAnsi="宋体"/>
          <w:sz w:val="24"/>
          <w:lang w:val="en-US" w:eastAsia="zh-CN"/>
        </w:rPr>
        <w:t>、</w:t>
      </w:r>
      <w:r>
        <w:rPr>
          <w:rFonts w:hint="default" w:ascii="宋体" w:hAnsi="宋体"/>
          <w:sz w:val="24"/>
          <w:lang w:eastAsia="zh-CN"/>
        </w:rPr>
        <w:t>万能试验机</w:t>
      </w:r>
      <w:r>
        <w:rPr>
          <w:rFonts w:hint="eastAsia" w:ascii="宋体" w:hAnsi="宋体"/>
          <w:sz w:val="24"/>
          <w:lang w:val="en-US" w:eastAsia="zh-CN"/>
        </w:rPr>
        <w:t>、</w:t>
      </w:r>
      <w:r>
        <w:rPr>
          <w:rFonts w:hint="default" w:ascii="宋体" w:hAnsi="宋体"/>
          <w:sz w:val="24"/>
          <w:lang w:eastAsia="zh-CN"/>
        </w:rPr>
        <w:t>尾气分析仪</w:t>
      </w:r>
      <w:r>
        <w:rPr>
          <w:rFonts w:hint="eastAsia" w:ascii="宋体" w:hAnsi="宋体"/>
          <w:sz w:val="24"/>
          <w:lang w:val="en-US" w:eastAsia="zh-CN"/>
        </w:rPr>
        <w:t>、</w:t>
      </w:r>
      <w:r>
        <w:rPr>
          <w:rFonts w:hint="default" w:ascii="宋体" w:hAnsi="宋体"/>
          <w:sz w:val="24"/>
          <w:lang w:eastAsia="zh-CN"/>
        </w:rPr>
        <w:t>密度分析天平测试仪</w:t>
      </w:r>
      <w:r>
        <w:rPr>
          <w:rFonts w:hint="eastAsia" w:ascii="宋体" w:hAnsi="宋体"/>
          <w:sz w:val="24"/>
          <w:lang w:val="en-US" w:eastAsia="zh-CN"/>
        </w:rPr>
        <w:t>、</w:t>
      </w:r>
      <w:r>
        <w:rPr>
          <w:rFonts w:hint="default" w:ascii="宋体" w:hAnsi="宋体"/>
          <w:sz w:val="24"/>
          <w:lang w:eastAsia="zh-CN"/>
        </w:rPr>
        <w:t>盐雾试验箱</w:t>
      </w:r>
      <w:r>
        <w:rPr>
          <w:rFonts w:hint="eastAsia" w:ascii="Times New Roman" w:hAnsi="Times New Roman"/>
          <w:sz w:val="24"/>
          <w:szCs w:val="24"/>
          <w:lang w:val="en-US" w:eastAsia="zh-CN"/>
        </w:rPr>
        <w:t>等必要的</w:t>
      </w:r>
      <w:r>
        <w:rPr>
          <w:rFonts w:hint="eastAsia" w:ascii="Times New Roman" w:hAnsi="Times New Roman"/>
          <w:sz w:val="24"/>
          <w:szCs w:val="24"/>
          <w:lang w:eastAsia="zh-CN"/>
        </w:rPr>
        <w:t>生产设备</w:t>
      </w:r>
      <w:r>
        <w:rPr>
          <w:rFonts w:hint="eastAsia" w:ascii="Times New Roman" w:hAnsi="Times New Roman"/>
          <w:sz w:val="24"/>
          <w:szCs w:val="24"/>
          <w:lang w:val="en-US" w:eastAsia="zh-CN"/>
        </w:rPr>
        <w:t>和</w:t>
      </w:r>
      <w:r>
        <w:rPr>
          <w:rFonts w:hint="eastAsia" w:ascii="Times New Roman" w:hAnsi="Times New Roman"/>
          <w:sz w:val="24"/>
          <w:szCs w:val="24"/>
          <w:lang w:eastAsia="zh-CN"/>
        </w:rPr>
        <w:t>检测设备，为产品质量以及售后服务提供了</w:t>
      </w:r>
      <w:r>
        <w:rPr>
          <w:rFonts w:hint="eastAsia" w:ascii="Times New Roman" w:hAnsi="Times New Roman"/>
          <w:sz w:val="24"/>
          <w:szCs w:val="24"/>
          <w:lang w:val="en-US" w:eastAsia="zh-CN"/>
        </w:rPr>
        <w:t>有力</w:t>
      </w:r>
      <w:r>
        <w:rPr>
          <w:rFonts w:hint="eastAsia" w:ascii="Times New Roman" w:hAnsi="Times New Roman"/>
          <w:sz w:val="24"/>
          <w:szCs w:val="24"/>
          <w:lang w:eastAsia="zh-CN"/>
        </w:rPr>
        <w:t>保障。</w:t>
      </w:r>
    </w:p>
    <w:p>
      <w:pPr>
        <w:ind w:firstLine="480"/>
        <w:jc w:val="center"/>
      </w:pPr>
      <w:r>
        <w:rPr>
          <w:rFonts w:hint="eastAsia"/>
          <w:b/>
          <w:bCs/>
          <w:i w:val="0"/>
          <w:iCs w:val="0"/>
          <w:lang w:val="en-US" w:eastAsia="zh-Hans"/>
        </w:rPr>
        <w:t>公司荣誉展示</w:t>
      </w:r>
    </w:p>
    <w:p>
      <w:pPr>
        <w:spacing w:line="360" w:lineRule="auto"/>
        <w:ind w:left="4830" w:hanging="5060" w:hangingChars="2300"/>
        <w:jc w:val="center"/>
      </w:pPr>
      <w:r>
        <w:drawing>
          <wp:inline distT="0" distB="0" distL="114300" distR="114300">
            <wp:extent cx="2391410" cy="1541145"/>
            <wp:effectExtent l="0" t="0" r="8890" b="190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16"/>
                    <a:stretch>
                      <a:fillRect/>
                    </a:stretch>
                  </pic:blipFill>
                  <pic:spPr>
                    <a:xfrm>
                      <a:off x="0" y="0"/>
                      <a:ext cx="2391410" cy="1541145"/>
                    </a:xfrm>
                    <a:prstGeom prst="rect">
                      <a:avLst/>
                    </a:prstGeom>
                    <a:noFill/>
                    <a:ln>
                      <a:noFill/>
                    </a:ln>
                  </pic:spPr>
                </pic:pic>
              </a:graphicData>
            </a:graphic>
          </wp:inline>
        </w:drawing>
      </w:r>
      <w:r>
        <w:drawing>
          <wp:inline distT="0" distB="0" distL="114300" distR="114300">
            <wp:extent cx="2295525" cy="1543050"/>
            <wp:effectExtent l="0" t="0" r="9525" b="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7"/>
                    <a:stretch>
                      <a:fillRect/>
                    </a:stretch>
                  </pic:blipFill>
                  <pic:spPr>
                    <a:xfrm>
                      <a:off x="0" y="0"/>
                      <a:ext cx="2295525" cy="1543050"/>
                    </a:xfrm>
                    <a:prstGeom prst="rect">
                      <a:avLst/>
                    </a:prstGeom>
                    <a:noFill/>
                    <a:ln>
                      <a:noFill/>
                    </a:ln>
                  </pic:spPr>
                </pic:pic>
              </a:graphicData>
            </a:graphic>
          </wp:inline>
        </w:drawing>
      </w:r>
    </w:p>
    <w:p>
      <w:pPr>
        <w:spacing w:line="360" w:lineRule="auto"/>
        <w:ind w:left="4830" w:hanging="5060" w:hangingChars="2300"/>
        <w:jc w:val="center"/>
        <w:rPr>
          <w:rFonts w:hint="default"/>
        </w:rPr>
      </w:pPr>
      <w:r>
        <w:rPr>
          <w:rFonts w:hint="default"/>
        </w:rPr>
        <w:drawing>
          <wp:inline distT="0" distB="0" distL="114300" distR="114300">
            <wp:extent cx="2428875" cy="1738630"/>
            <wp:effectExtent l="0" t="0" r="9525" b="13970"/>
            <wp:docPr id="31" name="图片 3" descr="upload_post_object_v2_22340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upload_post_object_v2_223404384"/>
                    <pic:cNvPicPr>
                      <a:picLocks noChangeAspect="1"/>
                    </pic:cNvPicPr>
                  </pic:nvPicPr>
                  <pic:blipFill>
                    <a:blip r:embed="rId18"/>
                    <a:stretch>
                      <a:fillRect/>
                    </a:stretch>
                  </pic:blipFill>
                  <pic:spPr>
                    <a:xfrm>
                      <a:off x="0" y="0"/>
                      <a:ext cx="2428875" cy="1738630"/>
                    </a:xfrm>
                    <a:prstGeom prst="rect">
                      <a:avLst/>
                    </a:prstGeom>
                    <a:noFill/>
                    <a:ln>
                      <a:noFill/>
                    </a:ln>
                  </pic:spPr>
                </pic:pic>
              </a:graphicData>
            </a:graphic>
          </wp:inline>
        </w:drawing>
      </w:r>
      <w:r>
        <w:rPr>
          <w:rFonts w:ascii="Verdana" w:hAnsi="Verdana" w:cs="宋体"/>
          <w:color w:val="000000"/>
          <w:sz w:val="28"/>
          <w:szCs w:val="28"/>
        </w:rPr>
        <w:drawing>
          <wp:inline distT="0" distB="0" distL="114300" distR="114300">
            <wp:extent cx="2457450" cy="1510665"/>
            <wp:effectExtent l="0" t="0" r="0" b="13335"/>
            <wp:docPr id="33" name="图片 4" descr="1566527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descr="1566527067(1)"/>
                    <pic:cNvPicPr>
                      <a:picLocks noChangeAspect="1"/>
                    </pic:cNvPicPr>
                  </pic:nvPicPr>
                  <pic:blipFill>
                    <a:blip r:embed="rId19"/>
                    <a:stretch>
                      <a:fillRect/>
                    </a:stretch>
                  </pic:blipFill>
                  <pic:spPr>
                    <a:xfrm>
                      <a:off x="0" y="0"/>
                      <a:ext cx="2457450" cy="1510665"/>
                    </a:xfrm>
                    <a:prstGeom prst="rect">
                      <a:avLst/>
                    </a:prstGeom>
                    <a:noFill/>
                    <a:ln>
                      <a:noFill/>
                    </a:ln>
                  </pic:spPr>
                </pic:pic>
              </a:graphicData>
            </a:graphic>
          </wp:inline>
        </w:drawing>
      </w:r>
    </w:p>
    <w:p>
      <w:pPr>
        <w:spacing w:line="360" w:lineRule="auto"/>
        <w:jc w:val="center"/>
        <w:rPr>
          <w:rFonts w:ascii="Verdana" w:hAnsi="Verdana" w:cs="宋体"/>
          <w:color w:val="000000"/>
          <w:sz w:val="28"/>
          <w:szCs w:val="28"/>
        </w:rPr>
      </w:pPr>
      <w:r>
        <w:rPr>
          <w:rFonts w:ascii="Verdana" w:hAnsi="Verdana" w:cs="宋体"/>
          <w:color w:val="000000"/>
          <w:sz w:val="28"/>
          <w:szCs w:val="28"/>
        </w:rPr>
        <w:drawing>
          <wp:inline distT="0" distB="0" distL="114300" distR="114300">
            <wp:extent cx="2409825" cy="1595755"/>
            <wp:effectExtent l="0" t="0" r="9525" b="4445"/>
            <wp:docPr id="34" name="图片 5" descr="1566781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descr="1566781538(1)"/>
                    <pic:cNvPicPr>
                      <a:picLocks noChangeAspect="1"/>
                    </pic:cNvPicPr>
                  </pic:nvPicPr>
                  <pic:blipFill>
                    <a:blip r:embed="rId20"/>
                    <a:stretch>
                      <a:fillRect/>
                    </a:stretch>
                  </pic:blipFill>
                  <pic:spPr>
                    <a:xfrm>
                      <a:off x="0" y="0"/>
                      <a:ext cx="2409825" cy="1595755"/>
                    </a:xfrm>
                    <a:prstGeom prst="rect">
                      <a:avLst/>
                    </a:prstGeom>
                    <a:noFill/>
                    <a:ln>
                      <a:noFill/>
                    </a:ln>
                  </pic:spPr>
                </pic:pic>
              </a:graphicData>
            </a:graphic>
          </wp:inline>
        </w:drawing>
      </w:r>
      <w:r>
        <w:drawing>
          <wp:inline distT="0" distB="0" distL="114300" distR="114300">
            <wp:extent cx="2057400" cy="1594485"/>
            <wp:effectExtent l="0" t="0" r="0" b="5715"/>
            <wp:docPr id="35" name="图片 6" descr="19年EPA排放证书Cert_KWJ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descr="19年EPA排放证书Cert_KWJFS"/>
                    <pic:cNvPicPr>
                      <a:picLocks noChangeAspect="1"/>
                    </pic:cNvPicPr>
                  </pic:nvPicPr>
                  <pic:blipFill>
                    <a:blip r:embed="rId21"/>
                    <a:stretch>
                      <a:fillRect/>
                    </a:stretch>
                  </pic:blipFill>
                  <pic:spPr>
                    <a:xfrm>
                      <a:off x="0" y="0"/>
                      <a:ext cx="2057400" cy="1594485"/>
                    </a:xfrm>
                    <a:prstGeom prst="rect">
                      <a:avLst/>
                    </a:prstGeom>
                    <a:noFill/>
                    <a:ln>
                      <a:noFill/>
                    </a:ln>
                  </pic:spPr>
                </pic:pic>
              </a:graphicData>
            </a:graphic>
          </wp:inline>
        </w:drawing>
      </w:r>
    </w:p>
    <w:p>
      <w:pPr>
        <w:pStyle w:val="2"/>
        <w:ind w:left="0" w:leftChars="0" w:firstLine="0" w:firstLineChars="0"/>
        <w:jc w:val="center"/>
      </w:pPr>
      <w:r>
        <w:drawing>
          <wp:inline distT="0" distB="0" distL="114300" distR="114300">
            <wp:extent cx="1524000" cy="1969135"/>
            <wp:effectExtent l="0" t="0" r="0" b="12065"/>
            <wp:docPr id="36" name="图片 7" descr="19年CARB排放证书u-u-075-0244排放KWJ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descr="19年CARB排放证书u-u-075-0244排放KWJFS"/>
                    <pic:cNvPicPr>
                      <a:picLocks noChangeAspect="1"/>
                    </pic:cNvPicPr>
                  </pic:nvPicPr>
                  <pic:blipFill>
                    <a:blip r:embed="rId22"/>
                    <a:stretch>
                      <a:fillRect/>
                    </a:stretch>
                  </pic:blipFill>
                  <pic:spPr>
                    <a:xfrm>
                      <a:off x="0" y="0"/>
                      <a:ext cx="1524000" cy="1969135"/>
                    </a:xfrm>
                    <a:prstGeom prst="rect">
                      <a:avLst/>
                    </a:prstGeom>
                    <a:noFill/>
                    <a:ln>
                      <a:noFill/>
                    </a:ln>
                  </pic:spPr>
                </pic:pic>
              </a:graphicData>
            </a:graphic>
          </wp:inline>
        </w:drawing>
      </w:r>
      <w:r>
        <w:drawing>
          <wp:inline distT="0" distB="0" distL="114300" distR="114300">
            <wp:extent cx="1552575" cy="2000250"/>
            <wp:effectExtent l="0" t="0" r="9525" b="0"/>
            <wp:docPr id="37" name="图片 8" descr="19年CARB排放证书u-u-075-0252排放KWJ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descr="19年CARB排放证书u-u-075-0252排放KWJFS"/>
                    <pic:cNvPicPr>
                      <a:picLocks noChangeAspect="1"/>
                    </pic:cNvPicPr>
                  </pic:nvPicPr>
                  <pic:blipFill>
                    <a:blip r:embed="rId23"/>
                    <a:stretch>
                      <a:fillRect/>
                    </a:stretch>
                  </pic:blipFill>
                  <pic:spPr>
                    <a:xfrm>
                      <a:off x="0" y="0"/>
                      <a:ext cx="1552575" cy="2000250"/>
                    </a:xfrm>
                    <a:prstGeom prst="rect">
                      <a:avLst/>
                    </a:prstGeom>
                    <a:noFill/>
                    <a:ln>
                      <a:noFill/>
                    </a:ln>
                  </pic:spPr>
                </pic:pic>
              </a:graphicData>
            </a:graphic>
          </wp:inline>
        </w:drawing>
      </w:r>
      <w:r>
        <w:drawing>
          <wp:inline distT="0" distB="0" distL="114300" distR="114300">
            <wp:extent cx="1371600" cy="2021205"/>
            <wp:effectExtent l="0" t="0" r="0" b="17145"/>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24"/>
                    <a:stretch>
                      <a:fillRect/>
                    </a:stretch>
                  </pic:blipFill>
                  <pic:spPr>
                    <a:xfrm>
                      <a:off x="0" y="0"/>
                      <a:ext cx="1371600" cy="2021205"/>
                    </a:xfrm>
                    <a:prstGeom prst="rect">
                      <a:avLst/>
                    </a:prstGeom>
                    <a:noFill/>
                    <a:ln>
                      <a:noFill/>
                    </a:ln>
                  </pic:spPr>
                </pic:pic>
              </a:graphicData>
            </a:graphic>
          </wp:inline>
        </w:drawing>
      </w:r>
    </w:p>
    <w:p>
      <w:pPr>
        <w:keepNext w:val="0"/>
        <w:keepLines w:val="0"/>
        <w:widowControl/>
        <w:suppressLineNumbers w:val="0"/>
        <w:spacing w:before="0" w:beforeAutospacing="0" w:after="0" w:afterAutospacing="0" w:line="315" w:lineRule="atLeast"/>
        <w:ind w:left="0" w:right="0"/>
        <w:jc w:val="center"/>
      </w:pPr>
      <w:r>
        <w:drawing>
          <wp:inline distT="0" distB="0" distL="114300" distR="114300">
            <wp:extent cx="1485900" cy="2143760"/>
            <wp:effectExtent l="0" t="0" r="0" b="8890"/>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25"/>
                    <a:stretch>
                      <a:fillRect/>
                    </a:stretch>
                  </pic:blipFill>
                  <pic:spPr>
                    <a:xfrm>
                      <a:off x="0" y="0"/>
                      <a:ext cx="1485900" cy="2143760"/>
                    </a:xfrm>
                    <a:prstGeom prst="rect">
                      <a:avLst/>
                    </a:prstGeom>
                    <a:noFill/>
                    <a:ln>
                      <a:noFill/>
                    </a:ln>
                  </pic:spPr>
                </pic:pic>
              </a:graphicData>
            </a:graphic>
          </wp:inline>
        </w:drawing>
      </w:r>
      <w:r>
        <w:drawing>
          <wp:inline distT="0" distB="0" distL="114300" distR="114300">
            <wp:extent cx="1343025" cy="2096135"/>
            <wp:effectExtent l="0" t="0" r="9525" b="18415"/>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26"/>
                    <a:stretch>
                      <a:fillRect/>
                    </a:stretch>
                  </pic:blipFill>
                  <pic:spPr>
                    <a:xfrm>
                      <a:off x="0" y="0"/>
                      <a:ext cx="1343025" cy="2096135"/>
                    </a:xfrm>
                    <a:prstGeom prst="rect">
                      <a:avLst/>
                    </a:prstGeom>
                    <a:noFill/>
                    <a:ln>
                      <a:noFill/>
                    </a:ln>
                  </pic:spPr>
                </pic:pic>
              </a:graphicData>
            </a:graphic>
          </wp:inline>
        </w:drawing>
      </w:r>
      <w:r>
        <w:drawing>
          <wp:inline distT="0" distB="0" distL="114300" distR="114300">
            <wp:extent cx="1419225" cy="2128520"/>
            <wp:effectExtent l="0" t="0" r="9525" b="5080"/>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pic:cNvPicPr>
                  </pic:nvPicPr>
                  <pic:blipFill>
                    <a:blip r:embed="rId27"/>
                    <a:stretch>
                      <a:fillRect/>
                    </a:stretch>
                  </pic:blipFill>
                  <pic:spPr>
                    <a:xfrm>
                      <a:off x="0" y="0"/>
                      <a:ext cx="1419225" cy="2128520"/>
                    </a:xfrm>
                    <a:prstGeom prst="rect">
                      <a:avLst/>
                    </a:prstGeom>
                    <a:noFill/>
                    <a:ln>
                      <a:noFill/>
                    </a:ln>
                  </pic:spPr>
                </pic:pic>
              </a:graphicData>
            </a:graphic>
          </wp:inline>
        </w:drawing>
      </w:r>
      <w:r>
        <w:rPr>
          <w:rFonts w:hint="default" w:ascii="Calibri" w:hAnsi="Calibri" w:cs="Calibri" w:eastAsiaTheme="minorEastAsia"/>
          <w:i w:val="0"/>
          <w:iCs w:val="0"/>
          <w:caps w:val="0"/>
          <w:color w:val="000000"/>
          <w:spacing w:val="0"/>
          <w:kern w:val="0"/>
          <w:sz w:val="21"/>
          <w:szCs w:val="21"/>
          <w:lang w:val="en-US" w:eastAsia="zh-CN" w:bidi="ar"/>
        </w:rPr>
        <w:t> </w:t>
      </w:r>
    </w:p>
    <w:p>
      <w:pPr>
        <w:spacing w:line="360" w:lineRule="auto"/>
        <w:jc w:val="both"/>
        <w:rPr>
          <w:rFonts w:hint="eastAsia"/>
          <w:lang w:val="en-US" w:eastAsia="zh-CN"/>
        </w:rPr>
      </w:pPr>
    </w:p>
    <w:p>
      <w:pPr>
        <w:pStyle w:val="23"/>
        <w:spacing w:before="0" w:beforeAutospacing="0" w:after="0" w:afterAutospacing="0"/>
        <w:jc w:val="center"/>
        <w:sectPr>
          <w:pgSz w:w="11906" w:h="16838"/>
          <w:pgMar w:top="1440" w:right="1080" w:bottom="1440" w:left="1080" w:header="851" w:footer="992" w:gutter="0"/>
          <w:cols w:space="425" w:num="1"/>
          <w:docGrid w:type="lines" w:linePitch="312" w:charSpace="0"/>
        </w:sectPr>
      </w:pPr>
    </w:p>
    <w:p>
      <w:pPr>
        <w:pStyle w:val="4"/>
        <w:numPr>
          <w:ilvl w:val="0"/>
          <w:numId w:val="2"/>
        </w:numPr>
        <w:spacing w:after="240"/>
        <w:jc w:val="center"/>
        <w:rPr>
          <w:rFonts w:hint="eastAsia"/>
          <w:lang w:val="en-US" w:eastAsia="zh-CN"/>
        </w:rPr>
      </w:pPr>
      <w:bookmarkStart w:id="6" w:name="_Toc14646"/>
      <w:r>
        <w:rPr>
          <w:rFonts w:hint="eastAsia"/>
          <w:lang w:val="en-US" w:eastAsia="zh-CN"/>
        </w:rPr>
        <w:t>质量理念</w:t>
      </w:r>
      <w:bookmarkEnd w:id="6"/>
    </w:p>
    <w:p>
      <w:pPr>
        <w:tabs>
          <w:tab w:val="left" w:pos="3654"/>
        </w:tabs>
        <w:adjustRightInd w:val="0"/>
        <w:snapToGrid w:val="0"/>
        <w:spacing w:line="360" w:lineRule="auto"/>
        <w:ind w:firstLine="420" w:firstLineChars="200"/>
        <w:jc w:val="left"/>
        <w:rPr>
          <w:rFonts w:hint="default"/>
          <w:lang w:val="en-US" w:eastAsia="zh-CN"/>
        </w:rPr>
      </w:pPr>
      <w:r>
        <w:rPr>
          <w:rFonts w:hint="eastAsia" w:ascii="宋体" w:hAnsi="宋体" w:cs="宋体"/>
          <w:color w:val="000000"/>
          <w:sz w:val="21"/>
          <w:szCs w:val="21"/>
        </w:rPr>
        <w:t>公司根据《中华人民共和国产品质量法》《环境保护法》《安全生产法》《消防法》等法律法规要求，建立健全质量管理体系和企业标准管理体系，有效运行GB/T 19001质量管理体系，制定作业指导书、检验规范等，持续提升质量管理水平。公司运用LEC、KYT等方法对产品制造全过程进行风险识别、评价和明确控制措施，形成了从研发、采购、生产、检测、包装、转运交付到客户服务等全过程质量安全保证体系。根据GB/T 19001 的要求进行实施，加强日常维护工作，定期组织内审、管理评审，以便及时发现管理中的不足并作出改善。目前在体系管理中，各部门职责清晰、流程完善、质量目标得到了提升。</w:t>
      </w:r>
      <w:bookmarkEnd w:id="4"/>
    </w:p>
    <w:p>
      <w:pPr>
        <w:pStyle w:val="5"/>
        <w:numPr>
          <w:ilvl w:val="0"/>
          <w:numId w:val="0"/>
        </w:numPr>
        <w:jc w:val="center"/>
        <w:rPr>
          <w:rFonts w:hAnsi="宋体"/>
          <w:sz w:val="21"/>
          <w:szCs w:val="21"/>
        </w:rPr>
      </w:pPr>
      <w:bookmarkStart w:id="7" w:name="_Toc14664"/>
      <w:r>
        <w:rPr>
          <w:rFonts w:hint="eastAsia" w:hAnsi="宋体"/>
          <w:sz w:val="21"/>
          <w:szCs w:val="21"/>
          <w:lang w:val="en-US" w:eastAsia="zh-CN"/>
        </w:rPr>
        <w:t>企业文化</w:t>
      </w:r>
      <w:bookmarkEnd w:id="7"/>
    </w:p>
    <w:tbl>
      <w:tblPr>
        <w:tblStyle w:val="26"/>
        <w:tblW w:w="97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0"/>
        <w:gridCol w:w="7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940" w:type="dxa"/>
            <w:shd w:val="clear" w:color="auto" w:fill="D9D9D9"/>
            <w:noWrap w:val="0"/>
            <w:vAlign w:val="center"/>
          </w:tcPr>
          <w:p>
            <w:pPr>
              <w:keepNext w:val="0"/>
              <w:keepLines w:val="0"/>
              <w:widowControl/>
              <w:suppressLineNumbers w:val="0"/>
              <w:spacing w:before="0" w:beforeAutospacing="0" w:after="0" w:afterAutospacing="0" w:line="400" w:lineRule="atLeast"/>
              <w:ind w:left="0" w:leftChars="0" w:right="0" w:rightChars="0"/>
              <w:jc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使命</w:t>
            </w:r>
          </w:p>
        </w:tc>
        <w:tc>
          <w:tcPr>
            <w:tcW w:w="7819" w:type="dxa"/>
            <w:noWrap w:val="0"/>
            <w:vAlign w:val="center"/>
          </w:tcPr>
          <w:p>
            <w:pPr>
              <w:keepNext w:val="0"/>
              <w:keepLines w:val="0"/>
              <w:widowControl/>
              <w:suppressLineNumbers w:val="0"/>
              <w:spacing w:before="0" w:beforeAutospacing="0" w:after="0" w:afterAutospacing="0" w:line="400" w:lineRule="atLeast"/>
              <w:ind w:left="0" w:leftChars="0" w:right="0" w:rightChars="0"/>
              <w:jc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成为客户紧密合作的战略伙伴，让客户享受高科技、新技术的美好生活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940" w:type="dxa"/>
            <w:shd w:val="clear" w:color="auto" w:fill="D9D9D9"/>
            <w:noWrap w:val="0"/>
            <w:vAlign w:val="center"/>
          </w:tcPr>
          <w:p>
            <w:pPr>
              <w:keepNext w:val="0"/>
              <w:keepLines w:val="0"/>
              <w:widowControl/>
              <w:suppressLineNumbers w:val="0"/>
              <w:spacing w:before="0" w:beforeAutospacing="0" w:after="0" w:afterAutospacing="0" w:line="400" w:lineRule="atLeast"/>
              <w:ind w:left="0" w:leftChars="0" w:right="0" w:rightChars="0"/>
              <w:jc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愿景</w:t>
            </w:r>
          </w:p>
        </w:tc>
        <w:tc>
          <w:tcPr>
            <w:tcW w:w="7819" w:type="dxa"/>
            <w:noWrap w:val="0"/>
            <w:vAlign w:val="center"/>
          </w:tcPr>
          <w:p>
            <w:pPr>
              <w:keepNext w:val="0"/>
              <w:keepLines w:val="0"/>
              <w:widowControl/>
              <w:suppressLineNumbers w:val="0"/>
              <w:spacing w:before="0" w:beforeAutospacing="0" w:after="0" w:afterAutospacing="0" w:line="400" w:lineRule="atLeast"/>
              <w:ind w:left="0" w:leftChars="0" w:right="0" w:rightChars="0"/>
              <w:jc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缔造行业细分领域的隐形冠军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940" w:type="dxa"/>
            <w:shd w:val="clear" w:color="auto" w:fill="D9D9D9"/>
            <w:noWrap w:val="0"/>
            <w:vAlign w:val="center"/>
          </w:tcPr>
          <w:p>
            <w:pPr>
              <w:keepNext w:val="0"/>
              <w:keepLines w:val="0"/>
              <w:widowControl/>
              <w:suppressLineNumbers w:val="0"/>
              <w:spacing w:before="0" w:beforeAutospacing="0" w:after="0" w:afterAutospacing="0" w:line="400" w:lineRule="atLeast"/>
              <w:ind w:left="0" w:leftChars="0" w:right="0" w:rightChars="0"/>
              <w:jc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核心价值观</w:t>
            </w:r>
          </w:p>
        </w:tc>
        <w:tc>
          <w:tcPr>
            <w:tcW w:w="7819" w:type="dxa"/>
            <w:noWrap w:val="0"/>
            <w:vAlign w:val="center"/>
          </w:tcPr>
          <w:p>
            <w:pPr>
              <w:keepNext w:val="0"/>
              <w:keepLines w:val="0"/>
              <w:widowControl/>
              <w:suppressLineNumbers w:val="0"/>
              <w:spacing w:before="0" w:beforeAutospacing="0" w:after="0" w:afterAutospacing="0" w:line="400" w:lineRule="atLeast"/>
              <w:ind w:left="0" w:leftChars="0" w:right="0" w:rightChars="0"/>
              <w:jc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诚信、严谨、创新、卓越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940" w:type="dxa"/>
            <w:shd w:val="clear" w:color="auto" w:fill="D9D9D9"/>
            <w:noWrap w:val="0"/>
            <w:vAlign w:val="center"/>
          </w:tcPr>
          <w:p>
            <w:pPr>
              <w:keepNext w:val="0"/>
              <w:keepLines w:val="0"/>
              <w:widowControl/>
              <w:suppressLineNumbers w:val="0"/>
              <w:spacing w:before="0" w:beforeAutospacing="0" w:after="0" w:afterAutospacing="0" w:line="400" w:lineRule="atLeast"/>
              <w:ind w:left="0" w:leftChars="0" w:right="0" w:rightChars="0"/>
              <w:jc w:val="center"/>
              <w:rPr>
                <w:rFonts w:hint="eastAsia" w:ascii="宋体" w:hAnsi="宋体" w:eastAsia="宋体" w:cs="宋体"/>
                <w:b/>
                <w:bCs/>
                <w:kern w:val="0"/>
                <w:sz w:val="21"/>
                <w:szCs w:val="21"/>
                <w:lang w:val="en-US" w:eastAsia="zh-CN" w:bidi="ar"/>
              </w:rPr>
            </w:pPr>
            <w:bookmarkStart w:id="8" w:name="_Toc31707"/>
            <w:r>
              <w:rPr>
                <w:rFonts w:hint="eastAsia" w:ascii="宋体" w:hAnsi="宋体" w:eastAsia="宋体" w:cs="宋体"/>
                <w:b/>
                <w:bCs/>
                <w:kern w:val="0"/>
                <w:sz w:val="21"/>
                <w:szCs w:val="21"/>
                <w:lang w:val="en-US" w:eastAsia="zh-CN" w:bidi="ar"/>
              </w:rPr>
              <w:t>管理理念</w:t>
            </w:r>
          </w:p>
        </w:tc>
        <w:tc>
          <w:tcPr>
            <w:tcW w:w="7819" w:type="dxa"/>
            <w:noWrap w:val="0"/>
            <w:vAlign w:val="center"/>
          </w:tcPr>
          <w:p>
            <w:pPr>
              <w:keepNext w:val="0"/>
              <w:keepLines w:val="0"/>
              <w:widowControl/>
              <w:suppressLineNumbers w:val="0"/>
              <w:spacing w:before="0" w:beforeAutospacing="0" w:after="0" w:afterAutospacing="0" w:line="400" w:lineRule="atLeast"/>
              <w:ind w:left="0" w:leftChars="0" w:right="0" w:rightChars="0"/>
              <w:jc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人人有事做、事事有人管，使战略和执行无缝对接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940" w:type="dxa"/>
            <w:shd w:val="clear" w:color="auto" w:fill="D9D9D9"/>
            <w:noWrap w:val="0"/>
            <w:vAlign w:val="center"/>
          </w:tcPr>
          <w:p>
            <w:pPr>
              <w:keepNext w:val="0"/>
              <w:keepLines w:val="0"/>
              <w:widowControl/>
              <w:suppressLineNumbers w:val="0"/>
              <w:spacing w:before="0" w:beforeAutospacing="0" w:after="0" w:afterAutospacing="0" w:line="400" w:lineRule="atLeast"/>
              <w:ind w:left="0" w:leftChars="0" w:right="0" w:rightChars="0"/>
              <w:jc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品质理念</w:t>
            </w:r>
          </w:p>
        </w:tc>
        <w:tc>
          <w:tcPr>
            <w:tcW w:w="7819" w:type="dxa"/>
            <w:noWrap w:val="0"/>
            <w:vAlign w:val="center"/>
          </w:tcPr>
          <w:p>
            <w:pPr>
              <w:keepNext w:val="0"/>
              <w:keepLines w:val="0"/>
              <w:widowControl/>
              <w:suppressLineNumbers w:val="0"/>
              <w:spacing w:before="0" w:beforeAutospacing="0" w:after="0" w:afterAutospacing="0" w:line="400" w:lineRule="atLeast"/>
              <w:ind w:left="0" w:leftChars="0" w:right="0" w:rightChars="0"/>
              <w:jc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品质是企业基业长青的根本，是企业战胜竞争对手的法宝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940" w:type="dxa"/>
            <w:shd w:val="clear" w:color="auto" w:fill="D9D9D9"/>
            <w:noWrap w:val="0"/>
            <w:vAlign w:val="center"/>
          </w:tcPr>
          <w:p>
            <w:pPr>
              <w:keepNext w:val="0"/>
              <w:keepLines w:val="0"/>
              <w:widowControl/>
              <w:suppressLineNumbers w:val="0"/>
              <w:spacing w:before="0" w:beforeAutospacing="0" w:after="0" w:afterAutospacing="0" w:line="400" w:lineRule="atLeast"/>
              <w:ind w:left="0" w:leftChars="0" w:right="0" w:rightChars="0"/>
              <w:jc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成本理念</w:t>
            </w:r>
          </w:p>
        </w:tc>
        <w:tc>
          <w:tcPr>
            <w:tcW w:w="7819" w:type="dxa"/>
            <w:noWrap w:val="0"/>
            <w:vAlign w:val="center"/>
          </w:tcPr>
          <w:p>
            <w:pPr>
              <w:keepNext w:val="0"/>
              <w:keepLines w:val="0"/>
              <w:widowControl/>
              <w:suppressLineNumbers w:val="0"/>
              <w:spacing w:before="0" w:beforeAutospacing="0" w:after="0" w:afterAutospacing="0" w:line="400" w:lineRule="atLeast"/>
              <w:ind w:left="0" w:leftChars="0" w:right="0" w:rightChars="0"/>
              <w:jc w:val="center"/>
              <w:rPr>
                <w:rFonts w:hint="default"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成本无小事，节约从一点一滴开始。百分之一的失误、就是百分百的损失。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940" w:type="dxa"/>
            <w:shd w:val="clear" w:color="auto" w:fill="D9D9D9"/>
            <w:noWrap w:val="0"/>
            <w:vAlign w:val="center"/>
          </w:tcPr>
          <w:p>
            <w:pPr>
              <w:keepNext w:val="0"/>
              <w:keepLines w:val="0"/>
              <w:widowControl/>
              <w:suppressLineNumbers w:val="0"/>
              <w:spacing w:before="0" w:beforeAutospacing="0" w:after="0" w:afterAutospacing="0" w:line="400" w:lineRule="atLeast"/>
              <w:ind w:left="0" w:leftChars="0" w:right="0" w:rightChars="0"/>
              <w:jc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提升理念</w:t>
            </w:r>
          </w:p>
        </w:tc>
        <w:tc>
          <w:tcPr>
            <w:tcW w:w="7819" w:type="dxa"/>
            <w:noWrap w:val="0"/>
            <w:vAlign w:val="center"/>
          </w:tcPr>
          <w:p>
            <w:pPr>
              <w:keepNext w:val="0"/>
              <w:keepLines w:val="0"/>
              <w:widowControl/>
              <w:suppressLineNumbers w:val="0"/>
              <w:spacing w:before="0" w:beforeAutospacing="0" w:after="0" w:afterAutospacing="0" w:line="400" w:lineRule="atLeast"/>
              <w:ind w:left="0" w:leftChars="0" w:right="0" w:rightChars="0"/>
              <w:jc w:val="center"/>
              <w:rPr>
                <w:rFonts w:hint="default"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每天提高一点点，就是企业管理持续进步的大源泉。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940" w:type="dxa"/>
            <w:shd w:val="clear" w:color="auto" w:fill="D9D9D9"/>
            <w:noWrap w:val="0"/>
            <w:vAlign w:val="center"/>
          </w:tcPr>
          <w:p>
            <w:pPr>
              <w:keepNext w:val="0"/>
              <w:keepLines w:val="0"/>
              <w:widowControl/>
              <w:suppressLineNumbers w:val="0"/>
              <w:spacing w:before="0" w:beforeAutospacing="0" w:after="0" w:afterAutospacing="0" w:line="400" w:lineRule="atLeast"/>
              <w:ind w:left="0" w:leftChars="0" w:right="0" w:rightChars="0"/>
              <w:jc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执行理念</w:t>
            </w:r>
          </w:p>
        </w:tc>
        <w:tc>
          <w:tcPr>
            <w:tcW w:w="7819" w:type="dxa"/>
            <w:noWrap w:val="0"/>
            <w:vAlign w:val="center"/>
          </w:tcPr>
          <w:p>
            <w:pPr>
              <w:keepNext w:val="0"/>
              <w:keepLines w:val="0"/>
              <w:widowControl/>
              <w:suppressLineNumbers w:val="0"/>
              <w:spacing w:before="0" w:beforeAutospacing="0" w:after="0" w:afterAutospacing="0" w:line="400" w:lineRule="atLeast"/>
              <w:ind w:left="0" w:leftChars="0" w:right="0" w:rightChars="0"/>
              <w:jc w:val="center"/>
              <w:rPr>
                <w:rFonts w:hint="default"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有规定按规定做，不找理由、不着借口，结果才是你的业绩。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940" w:type="dxa"/>
            <w:shd w:val="clear" w:color="auto" w:fill="D9D9D9"/>
            <w:noWrap w:val="0"/>
            <w:vAlign w:val="center"/>
          </w:tcPr>
          <w:p>
            <w:pPr>
              <w:keepNext w:val="0"/>
              <w:keepLines w:val="0"/>
              <w:widowControl/>
              <w:suppressLineNumbers w:val="0"/>
              <w:spacing w:before="0" w:beforeAutospacing="0" w:after="0" w:afterAutospacing="0" w:line="400" w:lineRule="atLeast"/>
              <w:ind w:left="0" w:leftChars="0" w:right="0" w:rightChars="0"/>
              <w:jc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工作理念</w:t>
            </w:r>
          </w:p>
        </w:tc>
        <w:tc>
          <w:tcPr>
            <w:tcW w:w="7819" w:type="dxa"/>
            <w:noWrap w:val="0"/>
            <w:vAlign w:val="center"/>
          </w:tcPr>
          <w:p>
            <w:pPr>
              <w:keepNext w:val="0"/>
              <w:keepLines w:val="0"/>
              <w:widowControl/>
              <w:suppressLineNumbers w:val="0"/>
              <w:spacing w:before="0" w:beforeAutospacing="0" w:after="0" w:afterAutospacing="0" w:line="400" w:lineRule="atLeast"/>
              <w:ind w:left="0" w:leftChars="0" w:right="0" w:rightChars="0"/>
              <w:jc w:val="center"/>
              <w:rPr>
                <w:rFonts w:hint="default"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办法总比困难多。正确做事，做紧迫的事、重要的事。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940" w:type="dxa"/>
            <w:shd w:val="clear" w:color="auto" w:fill="D9D9D9"/>
            <w:noWrap w:val="0"/>
            <w:vAlign w:val="center"/>
          </w:tcPr>
          <w:p>
            <w:pPr>
              <w:keepNext w:val="0"/>
              <w:keepLines w:val="0"/>
              <w:widowControl/>
              <w:suppressLineNumbers w:val="0"/>
              <w:spacing w:before="0" w:beforeAutospacing="0" w:after="0" w:afterAutospacing="0" w:line="400" w:lineRule="atLeast"/>
              <w:ind w:left="0" w:leftChars="0" w:right="0" w:rightChars="0"/>
              <w:jc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人才理念</w:t>
            </w:r>
          </w:p>
        </w:tc>
        <w:tc>
          <w:tcPr>
            <w:tcW w:w="7819" w:type="dxa"/>
            <w:noWrap w:val="0"/>
            <w:vAlign w:val="center"/>
          </w:tcPr>
          <w:p>
            <w:pPr>
              <w:keepNext w:val="0"/>
              <w:keepLines w:val="0"/>
              <w:widowControl/>
              <w:suppressLineNumbers w:val="0"/>
              <w:spacing w:before="0" w:beforeAutospacing="0" w:after="0" w:afterAutospacing="0" w:line="400" w:lineRule="atLeast"/>
              <w:ind w:left="0" w:leftChars="0" w:right="0" w:rightChars="0"/>
              <w:jc w:val="center"/>
              <w:rPr>
                <w:rFonts w:hint="default"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人人多是人才，要量才而用，避其短，用其长；合适的岗位由合适的人去做。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940" w:type="dxa"/>
            <w:shd w:val="clear" w:color="auto" w:fill="D9D9D9"/>
            <w:noWrap w:val="0"/>
            <w:vAlign w:val="center"/>
          </w:tcPr>
          <w:p>
            <w:pPr>
              <w:keepNext w:val="0"/>
              <w:keepLines w:val="0"/>
              <w:widowControl/>
              <w:suppressLineNumbers w:val="0"/>
              <w:spacing w:before="0" w:beforeAutospacing="0" w:after="0" w:afterAutospacing="0" w:line="400" w:lineRule="atLeast"/>
              <w:ind w:left="0" w:leftChars="0" w:right="0" w:rightChars="0"/>
              <w:jc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经营理念</w:t>
            </w:r>
          </w:p>
        </w:tc>
        <w:tc>
          <w:tcPr>
            <w:tcW w:w="7819" w:type="dxa"/>
            <w:noWrap w:val="0"/>
            <w:vAlign w:val="center"/>
          </w:tcPr>
          <w:p>
            <w:pPr>
              <w:keepNext w:val="0"/>
              <w:keepLines w:val="0"/>
              <w:widowControl/>
              <w:suppressLineNumbers w:val="0"/>
              <w:spacing w:before="0" w:beforeAutospacing="0" w:after="0" w:afterAutospacing="0" w:line="400" w:lineRule="atLeast"/>
              <w:ind w:left="0" w:leftChars="0" w:right="0" w:rightChars="0"/>
              <w:jc w:val="center"/>
              <w:rPr>
                <w:rFonts w:hint="default"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始终秉承"客户满意、员工满意、股东满意、合作伙伴满意"的经营理念</w:t>
            </w:r>
          </w:p>
        </w:tc>
      </w:tr>
    </w:tbl>
    <w:p>
      <w:pPr>
        <w:rPr>
          <w:rFonts w:hint="eastAsia"/>
          <w:lang w:val="en-US" w:eastAsia="zh-CN"/>
        </w:rPr>
      </w:pPr>
      <w:r>
        <w:rPr>
          <w:rFonts w:hint="eastAsia"/>
          <w:lang w:val="en-US" w:eastAsia="zh-CN"/>
        </w:rPr>
        <w:br w:type="page"/>
      </w:r>
    </w:p>
    <w:p>
      <w:pPr>
        <w:pStyle w:val="4"/>
        <w:numPr>
          <w:ilvl w:val="0"/>
          <w:numId w:val="2"/>
        </w:numPr>
        <w:spacing w:after="240"/>
        <w:jc w:val="center"/>
        <w:rPr>
          <w:rFonts w:hint="eastAsia"/>
          <w:lang w:val="en-US" w:eastAsia="zh-CN"/>
        </w:rPr>
      </w:pPr>
      <w:r>
        <w:rPr>
          <w:rFonts w:hint="eastAsia"/>
          <w:lang w:val="en-US" w:eastAsia="zh-CN"/>
        </w:rPr>
        <w:t>质量目标</w:t>
      </w:r>
      <w:bookmarkEnd w:id="8"/>
    </w:p>
    <w:tbl>
      <w:tblPr>
        <w:tblStyle w:val="26"/>
        <w:tblW w:w="89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2332"/>
        <w:gridCol w:w="1227"/>
        <w:gridCol w:w="4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663" w:type="dxa"/>
            <w:noWrap w:val="0"/>
            <w:vAlign w:val="center"/>
          </w:tcPr>
          <w:p>
            <w:pPr>
              <w:jc w:val="center"/>
              <w:rPr>
                <w:rFonts w:ascii="Calibri" w:hAnsi="Calibri" w:eastAsia="宋体"/>
                <w:sz w:val="21"/>
                <w:szCs w:val="21"/>
              </w:rPr>
            </w:pPr>
            <w:bookmarkStart w:id="9" w:name="_Toc14395"/>
            <w:r>
              <w:rPr>
                <w:rFonts w:hint="eastAsia" w:ascii="Calibri" w:hAnsi="Calibri" w:eastAsia="宋体"/>
                <w:sz w:val="21"/>
                <w:szCs w:val="21"/>
              </w:rPr>
              <w:t>序号</w:t>
            </w:r>
          </w:p>
        </w:tc>
        <w:tc>
          <w:tcPr>
            <w:tcW w:w="2332" w:type="dxa"/>
            <w:noWrap w:val="0"/>
            <w:vAlign w:val="center"/>
          </w:tcPr>
          <w:p>
            <w:pPr>
              <w:jc w:val="center"/>
              <w:rPr>
                <w:rFonts w:ascii="Calibri" w:hAnsi="Calibri" w:eastAsia="宋体"/>
                <w:sz w:val="21"/>
                <w:szCs w:val="21"/>
              </w:rPr>
            </w:pPr>
            <w:r>
              <w:rPr>
                <w:rFonts w:hint="eastAsia" w:ascii="Calibri" w:hAnsi="Calibri" w:eastAsia="宋体"/>
                <w:sz w:val="21"/>
                <w:szCs w:val="21"/>
              </w:rPr>
              <w:t>项目</w:t>
            </w:r>
          </w:p>
        </w:tc>
        <w:tc>
          <w:tcPr>
            <w:tcW w:w="1227" w:type="dxa"/>
            <w:noWrap w:val="0"/>
            <w:vAlign w:val="center"/>
          </w:tcPr>
          <w:p>
            <w:pPr>
              <w:jc w:val="center"/>
              <w:rPr>
                <w:rFonts w:ascii="Calibri" w:hAnsi="Calibri" w:eastAsia="宋体"/>
                <w:sz w:val="21"/>
                <w:szCs w:val="21"/>
              </w:rPr>
            </w:pPr>
            <w:r>
              <w:rPr>
                <w:rFonts w:hint="eastAsia" w:ascii="Calibri" w:hAnsi="Calibri" w:eastAsia="宋体"/>
                <w:sz w:val="21"/>
                <w:szCs w:val="21"/>
              </w:rPr>
              <w:t>指标</w:t>
            </w:r>
          </w:p>
        </w:tc>
        <w:tc>
          <w:tcPr>
            <w:tcW w:w="4721" w:type="dxa"/>
            <w:noWrap w:val="0"/>
            <w:vAlign w:val="top"/>
          </w:tcPr>
          <w:p>
            <w:pPr>
              <w:jc w:val="center"/>
              <w:rPr>
                <w:rFonts w:ascii="Calibri" w:hAnsi="Calibri" w:eastAsia="宋体"/>
                <w:sz w:val="21"/>
                <w:szCs w:val="21"/>
                <w:lang w:eastAsia="zh-CN"/>
              </w:rPr>
            </w:pPr>
            <w:r>
              <w:rPr>
                <w:rFonts w:hint="eastAsia" w:ascii="Calibri" w:hAnsi="Calibri" w:eastAsia="宋体"/>
                <w:sz w:val="21"/>
                <w:szCs w:val="21"/>
              </w:rPr>
              <w:t>测量方法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3" w:type="dxa"/>
            <w:noWrap w:val="0"/>
            <w:vAlign w:val="center"/>
          </w:tcPr>
          <w:p>
            <w:pPr>
              <w:jc w:val="center"/>
              <w:rPr>
                <w:rFonts w:hint="eastAsia" w:ascii="Calibri" w:hAnsi="Calibri" w:eastAsia="宋体"/>
                <w:sz w:val="21"/>
                <w:szCs w:val="21"/>
                <w:lang w:val="en-US" w:eastAsia="zh-CN"/>
              </w:rPr>
            </w:pPr>
            <w:r>
              <w:rPr>
                <w:rFonts w:hint="eastAsia" w:ascii="Calibri" w:hAnsi="Calibri" w:eastAsia="宋体"/>
                <w:sz w:val="21"/>
                <w:szCs w:val="21"/>
                <w:lang w:val="en-US" w:eastAsia="zh-CN"/>
              </w:rPr>
              <w:t>1</w:t>
            </w:r>
          </w:p>
        </w:tc>
        <w:tc>
          <w:tcPr>
            <w:tcW w:w="2332" w:type="dxa"/>
            <w:noWrap w:val="0"/>
            <w:vAlign w:val="center"/>
          </w:tcPr>
          <w:p>
            <w:pPr>
              <w:rPr>
                <w:rFonts w:hint="eastAsia" w:ascii="Calibri" w:hAnsi="Calibri" w:eastAsiaTheme="minorEastAsia"/>
                <w:sz w:val="21"/>
                <w:szCs w:val="21"/>
                <w:lang w:val="en-US" w:eastAsia="zh-CN"/>
              </w:rPr>
            </w:pPr>
            <w:r>
              <w:rPr>
                <w:rFonts w:hint="eastAsia" w:ascii="Calibri" w:hAnsi="Calibri" w:eastAsiaTheme="minorEastAsia"/>
                <w:sz w:val="21"/>
                <w:szCs w:val="21"/>
                <w:lang w:val="en-US" w:eastAsia="zh-CN"/>
              </w:rPr>
              <w:t>产品一次检验合格率</w:t>
            </w:r>
          </w:p>
        </w:tc>
        <w:tc>
          <w:tcPr>
            <w:tcW w:w="1227" w:type="dxa"/>
            <w:noWrap w:val="0"/>
            <w:vAlign w:val="center"/>
          </w:tcPr>
          <w:p>
            <w:pPr>
              <w:jc w:val="center"/>
              <w:rPr>
                <w:rFonts w:ascii="Calibri" w:hAnsi="Calibri" w:eastAsia="宋体"/>
                <w:sz w:val="21"/>
                <w:szCs w:val="21"/>
              </w:rPr>
            </w:pPr>
            <w:r>
              <w:rPr>
                <w:rFonts w:hint="eastAsia" w:ascii="Calibri" w:hAnsi="Calibri" w:eastAsia="宋体"/>
                <w:sz w:val="21"/>
                <w:szCs w:val="21"/>
              </w:rPr>
              <w:t>≧</w:t>
            </w:r>
            <w:r>
              <w:rPr>
                <w:rFonts w:hint="eastAsia" w:ascii="Calibri" w:hAnsi="Calibri" w:eastAsia="宋体"/>
                <w:sz w:val="21"/>
                <w:szCs w:val="21"/>
                <w:lang w:val="en-US" w:eastAsia="zh-CN"/>
              </w:rPr>
              <w:t>98</w:t>
            </w:r>
            <w:r>
              <w:rPr>
                <w:rFonts w:ascii="Calibri" w:hAnsi="Calibri" w:eastAsia="宋体"/>
                <w:sz w:val="21"/>
                <w:szCs w:val="21"/>
              </w:rPr>
              <w:t>%</w:t>
            </w:r>
          </w:p>
        </w:tc>
        <w:tc>
          <w:tcPr>
            <w:tcW w:w="4721" w:type="dxa"/>
            <w:noWrap w:val="0"/>
            <w:vAlign w:val="center"/>
          </w:tcPr>
          <w:p>
            <w:pPr>
              <w:jc w:val="center"/>
              <w:rPr>
                <w:rFonts w:ascii="Calibri" w:hAnsi="Calibri" w:eastAsia="宋体"/>
                <w:sz w:val="21"/>
                <w:szCs w:val="21"/>
                <w:lang w:eastAsia="zh-CN"/>
              </w:rPr>
            </w:pPr>
            <w:r>
              <w:rPr>
                <w:rFonts w:ascii="Calibri" w:hAnsi="Calibri" w:eastAsia="宋体"/>
                <w:sz w:val="21"/>
                <w:szCs w:val="21"/>
              </w:rPr>
              <w:t>(</w:t>
            </w:r>
            <w:r>
              <w:rPr>
                <w:rFonts w:hint="eastAsia" w:ascii="Calibri" w:hAnsi="Calibri" w:eastAsia="宋体"/>
                <w:sz w:val="21"/>
                <w:szCs w:val="21"/>
              </w:rPr>
              <w:t>交付总数</w:t>
            </w:r>
            <w:r>
              <w:rPr>
                <w:rFonts w:ascii="Calibri" w:hAnsi="Calibri" w:eastAsia="宋体"/>
                <w:sz w:val="21"/>
                <w:szCs w:val="21"/>
                <w:lang w:eastAsia="zh-CN"/>
              </w:rPr>
              <w:t>-</w:t>
            </w:r>
            <w:r>
              <w:rPr>
                <w:rFonts w:hint="eastAsia" w:ascii="Calibri" w:hAnsi="Calibri" w:eastAsia="宋体"/>
                <w:sz w:val="21"/>
                <w:szCs w:val="21"/>
                <w:lang w:eastAsia="zh-CN"/>
              </w:rPr>
              <w:t>客户投诉产品数</w:t>
            </w:r>
            <w:r>
              <w:rPr>
                <w:rFonts w:ascii="Calibri" w:hAnsi="Calibri" w:eastAsia="宋体"/>
                <w:sz w:val="21"/>
                <w:szCs w:val="21"/>
                <w:lang w:eastAsia="zh-CN"/>
              </w:rPr>
              <w:t>)/</w:t>
            </w:r>
            <w:r>
              <w:rPr>
                <w:rFonts w:hint="eastAsia" w:ascii="Calibri" w:hAnsi="Calibri" w:eastAsia="宋体"/>
                <w:sz w:val="21"/>
                <w:szCs w:val="21"/>
                <w:lang w:eastAsia="zh-CN"/>
              </w:rPr>
              <w:t>交付总数</w:t>
            </w:r>
            <w:r>
              <w:rPr>
                <w:rFonts w:ascii="Calibri" w:hAnsi="Calibri" w:eastAsia="宋体"/>
                <w:sz w:val="21"/>
                <w:szCs w:val="21"/>
                <w:lang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3" w:type="dxa"/>
            <w:noWrap w:val="0"/>
            <w:vAlign w:val="center"/>
          </w:tcPr>
          <w:p>
            <w:pPr>
              <w:jc w:val="center"/>
              <w:rPr>
                <w:rFonts w:hint="eastAsia" w:ascii="Calibri" w:hAnsi="Calibri" w:eastAsia="宋体"/>
                <w:sz w:val="21"/>
                <w:szCs w:val="21"/>
                <w:lang w:val="en-US" w:eastAsia="zh-CN"/>
              </w:rPr>
            </w:pPr>
            <w:r>
              <w:rPr>
                <w:rFonts w:ascii="Calibri" w:hAnsi="Calibri" w:eastAsia="宋体"/>
                <w:sz w:val="21"/>
                <w:szCs w:val="21"/>
              </w:rPr>
              <w:t>2</w:t>
            </w:r>
          </w:p>
        </w:tc>
        <w:tc>
          <w:tcPr>
            <w:tcW w:w="2332" w:type="dxa"/>
            <w:noWrap w:val="0"/>
            <w:vAlign w:val="center"/>
          </w:tcPr>
          <w:p>
            <w:pPr>
              <w:rPr>
                <w:rFonts w:hint="eastAsia" w:ascii="Calibri" w:hAnsi="Calibri" w:eastAsiaTheme="minorEastAsia"/>
                <w:sz w:val="21"/>
                <w:szCs w:val="21"/>
                <w:lang w:val="en-US" w:eastAsia="zh-CN"/>
              </w:rPr>
            </w:pPr>
            <w:r>
              <w:rPr>
                <w:rFonts w:hint="eastAsia" w:ascii="Calibri" w:hAnsi="Calibri" w:eastAsiaTheme="minorEastAsia"/>
                <w:sz w:val="21"/>
                <w:szCs w:val="21"/>
                <w:lang w:val="en-US" w:eastAsia="zh-CN"/>
              </w:rPr>
              <w:t>顾客满意度</w:t>
            </w:r>
          </w:p>
        </w:tc>
        <w:tc>
          <w:tcPr>
            <w:tcW w:w="1227" w:type="dxa"/>
            <w:noWrap w:val="0"/>
            <w:vAlign w:val="center"/>
          </w:tcPr>
          <w:p>
            <w:pPr>
              <w:jc w:val="center"/>
              <w:rPr>
                <w:rFonts w:hint="eastAsia" w:ascii="Calibri" w:hAnsi="Calibri" w:eastAsia="宋体"/>
                <w:sz w:val="21"/>
                <w:szCs w:val="21"/>
              </w:rPr>
            </w:pPr>
            <w:r>
              <w:rPr>
                <w:rFonts w:hint="eastAsia" w:ascii="Calibri" w:hAnsi="Calibri" w:eastAsia="宋体"/>
                <w:sz w:val="21"/>
                <w:szCs w:val="21"/>
              </w:rPr>
              <w:t>≧</w:t>
            </w:r>
            <w:r>
              <w:rPr>
                <w:rFonts w:hint="eastAsia" w:ascii="Calibri" w:hAnsi="Calibri" w:eastAsia="宋体"/>
                <w:sz w:val="21"/>
                <w:szCs w:val="21"/>
                <w:lang w:val="en-US" w:eastAsia="zh-CN"/>
              </w:rPr>
              <w:t>85</w:t>
            </w:r>
            <w:r>
              <w:rPr>
                <w:rFonts w:ascii="Calibri" w:hAnsi="Calibri" w:eastAsia="宋体"/>
                <w:sz w:val="21"/>
                <w:szCs w:val="21"/>
              </w:rPr>
              <w:t>%</w:t>
            </w:r>
          </w:p>
        </w:tc>
        <w:tc>
          <w:tcPr>
            <w:tcW w:w="4721" w:type="dxa"/>
            <w:noWrap w:val="0"/>
            <w:vAlign w:val="center"/>
          </w:tcPr>
          <w:p>
            <w:pPr>
              <w:pStyle w:val="2"/>
              <w:ind w:left="0" w:leftChars="0" w:firstLine="0" w:firstLineChars="0"/>
            </w:pPr>
            <w:r>
              <w:rPr>
                <w:rFonts w:ascii="Calibri" w:hAnsi="Calibri" w:eastAsia="宋体"/>
                <w:sz w:val="21"/>
                <w:szCs w:val="21"/>
              </w:rPr>
              <w:t>∑(</w:t>
            </w:r>
            <w:r>
              <w:rPr>
                <w:rFonts w:hint="eastAsia" w:ascii="Calibri" w:hAnsi="Calibri" w:eastAsia="宋体"/>
                <w:sz w:val="21"/>
                <w:szCs w:val="21"/>
              </w:rPr>
              <w:t>客户满意度调查得分</w:t>
            </w:r>
            <w:r>
              <w:rPr>
                <w:rFonts w:ascii="Calibri" w:hAnsi="Calibri" w:eastAsia="宋体"/>
                <w:sz w:val="21"/>
                <w:szCs w:val="21"/>
                <w:lang w:eastAsia="zh-CN"/>
              </w:rPr>
              <w:t>)/(</w:t>
            </w:r>
            <w:r>
              <w:rPr>
                <w:rFonts w:hint="eastAsia" w:ascii="Calibri" w:hAnsi="Calibri" w:eastAsia="宋体"/>
                <w:sz w:val="21"/>
                <w:szCs w:val="21"/>
                <w:lang w:eastAsia="zh-CN"/>
              </w:rPr>
              <w:t>总分</w:t>
            </w:r>
            <w:r>
              <w:rPr>
                <w:rFonts w:ascii="Calibri" w:hAnsi="Calibri" w:eastAsia="宋体"/>
                <w:sz w:val="21"/>
                <w:szCs w:val="21"/>
                <w:lang w:eastAsia="zh-CN"/>
              </w:rPr>
              <w:t>*</w:t>
            </w:r>
            <w:r>
              <w:rPr>
                <w:rFonts w:hint="eastAsia" w:ascii="Calibri" w:hAnsi="Calibri" w:eastAsia="宋体"/>
                <w:sz w:val="21"/>
                <w:szCs w:val="21"/>
                <w:lang w:eastAsia="zh-CN"/>
              </w:rPr>
              <w:t>调查次数</w:t>
            </w:r>
            <w:r>
              <w:rPr>
                <w:rFonts w:ascii="Calibri" w:hAnsi="Calibri" w:eastAsia="宋体"/>
                <w:sz w:val="21"/>
                <w:szCs w:val="21"/>
                <w:lang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3" w:type="dxa"/>
            <w:noWrap w:val="0"/>
            <w:vAlign w:val="center"/>
          </w:tcPr>
          <w:p>
            <w:pPr>
              <w:jc w:val="center"/>
              <w:rPr>
                <w:rFonts w:hint="default" w:ascii="Calibri" w:hAnsi="Calibri" w:eastAsia="宋体"/>
                <w:sz w:val="21"/>
                <w:szCs w:val="21"/>
                <w:lang w:val="en-US" w:eastAsia="zh-CN"/>
              </w:rPr>
            </w:pPr>
            <w:r>
              <w:rPr>
                <w:rFonts w:hint="eastAsia" w:ascii="Calibri" w:hAnsi="Calibri" w:eastAsia="宋体"/>
                <w:sz w:val="21"/>
                <w:szCs w:val="21"/>
                <w:lang w:val="en-US" w:eastAsia="zh-CN"/>
              </w:rPr>
              <w:t>3</w:t>
            </w:r>
          </w:p>
        </w:tc>
        <w:tc>
          <w:tcPr>
            <w:tcW w:w="2332" w:type="dxa"/>
            <w:noWrap w:val="0"/>
            <w:vAlign w:val="center"/>
          </w:tcPr>
          <w:p>
            <w:pPr>
              <w:rPr>
                <w:rFonts w:hint="default" w:ascii="Calibri" w:hAnsi="Calibri" w:eastAsiaTheme="minorEastAsia"/>
                <w:sz w:val="21"/>
                <w:szCs w:val="21"/>
                <w:lang w:val="en-US" w:eastAsia="zh-CN"/>
              </w:rPr>
            </w:pPr>
            <w:r>
              <w:rPr>
                <w:rFonts w:hint="eastAsia" w:ascii="Calibri" w:hAnsi="Calibri" w:eastAsiaTheme="minorEastAsia"/>
                <w:sz w:val="21"/>
                <w:szCs w:val="21"/>
                <w:lang w:val="en-US" w:eastAsia="zh-CN"/>
              </w:rPr>
              <w:t>重大适量事故</w:t>
            </w:r>
          </w:p>
        </w:tc>
        <w:tc>
          <w:tcPr>
            <w:tcW w:w="1227" w:type="dxa"/>
            <w:noWrap w:val="0"/>
            <w:vAlign w:val="center"/>
          </w:tcPr>
          <w:p>
            <w:pPr>
              <w:jc w:val="center"/>
              <w:rPr>
                <w:rFonts w:hint="eastAsia" w:ascii="Calibri" w:hAnsi="Calibri" w:eastAsia="宋体"/>
                <w:sz w:val="21"/>
                <w:szCs w:val="21"/>
                <w:lang w:val="en-US" w:eastAsia="zh-CN"/>
              </w:rPr>
            </w:pPr>
            <w:r>
              <w:rPr>
                <w:rFonts w:hint="eastAsia" w:ascii="Calibri" w:hAnsi="Calibri" w:eastAsia="宋体"/>
                <w:sz w:val="21"/>
                <w:szCs w:val="21"/>
                <w:lang w:val="en-US" w:eastAsia="zh-CN"/>
              </w:rPr>
              <w:t>0</w:t>
            </w:r>
          </w:p>
        </w:tc>
        <w:tc>
          <w:tcPr>
            <w:tcW w:w="4721" w:type="dxa"/>
            <w:noWrap w:val="0"/>
            <w:vAlign w:val="center"/>
          </w:tcPr>
          <w:p>
            <w:pPr>
              <w:jc w:val="center"/>
              <w:rPr>
                <w:rFonts w:hint="default" w:ascii="Calibri" w:hAnsi="Calibri" w:eastAsia="宋体"/>
                <w:sz w:val="21"/>
                <w:szCs w:val="21"/>
                <w:lang w:val="en-US" w:eastAsia="zh-CN"/>
              </w:rPr>
            </w:pPr>
            <w:r>
              <w:rPr>
                <w:rFonts w:hint="eastAsia" w:ascii="Calibri" w:hAnsi="Calibri" w:eastAsia="宋体"/>
                <w:sz w:val="21"/>
                <w:szCs w:val="21"/>
                <w:lang w:val="en-US" w:eastAsia="zh-CN"/>
              </w:rPr>
              <w:t>按实际发生</w:t>
            </w:r>
          </w:p>
        </w:tc>
      </w:tr>
    </w:tbl>
    <w:p>
      <w:pPr>
        <w:pStyle w:val="4"/>
        <w:numPr>
          <w:ilvl w:val="0"/>
          <w:numId w:val="2"/>
        </w:numPr>
        <w:spacing w:after="240"/>
        <w:jc w:val="center"/>
        <w:rPr>
          <w:rFonts w:hint="eastAsia"/>
        </w:rPr>
      </w:pPr>
      <w:r>
        <w:rPr>
          <w:rFonts w:hint="eastAsia"/>
        </w:rPr>
        <w:t>质量内部管理</w:t>
      </w:r>
      <w:bookmarkEnd w:id="9"/>
    </w:p>
    <w:p>
      <w:pPr>
        <w:pStyle w:val="5"/>
        <w:numPr>
          <w:ilvl w:val="0"/>
          <w:numId w:val="3"/>
        </w:numPr>
        <w:rPr>
          <w:rFonts w:hint="eastAsia" w:ascii="宋体" w:hAnsi="宋体" w:cs="宋体"/>
          <w:color w:val="000000"/>
          <w:sz w:val="21"/>
          <w:szCs w:val="21"/>
        </w:rPr>
      </w:pPr>
      <w:bookmarkStart w:id="10" w:name="_Toc20870"/>
      <w:r>
        <w:rPr>
          <w:rFonts w:hint="eastAsia" w:ascii="宋体" w:hAnsi="宋体" w:cs="宋体"/>
          <w:color w:val="000000"/>
          <w:sz w:val="21"/>
          <w:szCs w:val="21"/>
          <w:lang w:val="en-US" w:eastAsia="zh-CN"/>
        </w:rPr>
        <w:t>质量风险监测</w:t>
      </w:r>
      <w:bookmarkEnd w:id="10"/>
    </w:p>
    <w:p>
      <w:pPr>
        <w:tabs>
          <w:tab w:val="left" w:pos="3654"/>
        </w:tabs>
        <w:adjustRightInd w:val="0"/>
        <w:snapToGrid w:val="0"/>
        <w:spacing w:line="36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rPr>
        <w:t>质量监督通过建立完善的质量管理体系和过程管理体系、实施各种质量控制手段、建立完善的售后服务体系等措施来确保产品和服务的质量，每道工序都制定了岗位职责和作业指导书，每道工序都有明确的质量控制点及工艺卡片的质量控制实施方法和要求。并设立了严格的内控指标。质量控制和监督涵盖了产品形成的全过程。</w:t>
      </w:r>
    </w:p>
    <w:p>
      <w:pPr>
        <w:tabs>
          <w:tab w:val="left" w:pos="3654"/>
        </w:tabs>
        <w:adjustRightInd w:val="0"/>
        <w:snapToGrid w:val="0"/>
        <w:spacing w:line="36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rPr>
        <w:t>公司配备了先进的检测设备，</w:t>
      </w:r>
      <w:r>
        <w:rPr>
          <w:rFonts w:hint="eastAsia" w:ascii="宋体" w:hAnsi="宋体" w:cs="宋体"/>
          <w:color w:val="000000"/>
          <w:sz w:val="21"/>
          <w:szCs w:val="21"/>
          <w:lang w:eastAsia="zh-CN"/>
        </w:rPr>
        <w:t>品控中心</w:t>
      </w:r>
      <w:r>
        <w:rPr>
          <w:rFonts w:hint="eastAsia" w:ascii="宋体" w:hAnsi="宋体" w:cs="宋体"/>
          <w:color w:val="000000"/>
          <w:sz w:val="21"/>
          <w:szCs w:val="21"/>
        </w:rPr>
        <w:t>负责三大过程的质量控制和质量检验。公司出厂产品质量稳定，从未发生过质量事故。</w:t>
      </w:r>
    </w:p>
    <w:p>
      <w:pPr>
        <w:pStyle w:val="5"/>
        <w:numPr>
          <w:ilvl w:val="0"/>
          <w:numId w:val="3"/>
        </w:numPr>
        <w:rPr>
          <w:rFonts w:hint="eastAsia" w:ascii="宋体" w:hAnsi="宋体" w:cs="宋体"/>
          <w:color w:val="000000"/>
          <w:sz w:val="21"/>
          <w:szCs w:val="21"/>
        </w:rPr>
      </w:pPr>
      <w:bookmarkStart w:id="11" w:name="_Toc19025"/>
      <w:r>
        <w:rPr>
          <w:rFonts w:hint="eastAsia" w:ascii="宋体" w:hAnsi="宋体" w:cs="宋体"/>
          <w:color w:val="000000"/>
          <w:sz w:val="21"/>
          <w:szCs w:val="21"/>
          <w:lang w:val="en-US" w:eastAsia="zh-CN"/>
        </w:rPr>
        <w:t>不合格输出控制</w:t>
      </w:r>
      <w:bookmarkEnd w:id="11"/>
    </w:p>
    <w:p>
      <w:pPr>
        <w:tabs>
          <w:tab w:val="left" w:pos="3654"/>
        </w:tabs>
        <w:adjustRightInd w:val="0"/>
        <w:snapToGrid w:val="0"/>
        <w:spacing w:line="36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rPr>
        <w:t>公司建立了《</w:t>
      </w:r>
      <w:r>
        <w:rPr>
          <w:rFonts w:hint="eastAsia" w:ascii="宋体" w:hAnsi="宋体" w:cs="宋体"/>
          <w:color w:val="000000"/>
          <w:sz w:val="21"/>
          <w:szCs w:val="21"/>
          <w:lang w:eastAsia="zh-CN"/>
        </w:rPr>
        <w:t>产品的监视和测量控制程序</w:t>
      </w:r>
      <w:r>
        <w:rPr>
          <w:rFonts w:hint="eastAsia" w:ascii="宋体" w:hAnsi="宋体" w:cs="宋体"/>
          <w:color w:val="000000"/>
          <w:sz w:val="21"/>
          <w:szCs w:val="21"/>
        </w:rPr>
        <w:t>》</w:t>
      </w:r>
      <w:r>
        <w:rPr>
          <w:rFonts w:hint="eastAsia" w:ascii="宋体" w:hAnsi="宋体" w:cs="宋体"/>
          <w:color w:val="000000"/>
          <w:sz w:val="21"/>
          <w:szCs w:val="21"/>
          <w:lang w:eastAsia="zh-CN"/>
        </w:rPr>
        <w:t>、《不合格品控制程序》</w:t>
      </w:r>
      <w:r>
        <w:rPr>
          <w:rFonts w:hint="eastAsia" w:ascii="宋体" w:hAnsi="宋体" w:cs="宋体"/>
          <w:color w:val="000000"/>
          <w:sz w:val="21"/>
          <w:szCs w:val="21"/>
        </w:rPr>
        <w:t>，对原辅材料、过程输出物、成品检验发现的不合格品进行管理。针对原辅材料检验不合格，由</w:t>
      </w:r>
      <w:r>
        <w:rPr>
          <w:rFonts w:hint="eastAsia" w:ascii="宋体" w:hAnsi="宋体" w:cs="宋体"/>
          <w:color w:val="000000"/>
          <w:sz w:val="21"/>
          <w:szCs w:val="21"/>
          <w:lang w:val="en-US" w:eastAsia="zh-CN"/>
        </w:rPr>
        <w:t>仓库</w:t>
      </w:r>
      <w:r>
        <w:rPr>
          <w:rFonts w:hint="eastAsia" w:ascii="宋体" w:hAnsi="宋体" w:cs="宋体"/>
          <w:color w:val="000000"/>
          <w:sz w:val="21"/>
          <w:szCs w:val="21"/>
        </w:rPr>
        <w:t>对不合格的原辅材料进行“不合格”标识、隔离，</w:t>
      </w:r>
      <w:r>
        <w:rPr>
          <w:rFonts w:hint="eastAsia" w:ascii="宋体" w:hAnsi="宋体" w:cs="宋体"/>
          <w:color w:val="000000"/>
          <w:sz w:val="21"/>
          <w:szCs w:val="21"/>
          <w:lang w:eastAsia="zh-CN"/>
        </w:rPr>
        <w:t>品控中心</w:t>
      </w:r>
      <w:r>
        <w:rPr>
          <w:rFonts w:hint="eastAsia" w:ascii="宋体" w:hAnsi="宋体" w:cs="宋体"/>
          <w:color w:val="000000"/>
          <w:sz w:val="21"/>
          <w:szCs w:val="21"/>
        </w:rPr>
        <w:t>填写《</w:t>
      </w:r>
      <w:r>
        <w:rPr>
          <w:rFonts w:hint="eastAsia" w:ascii="宋体" w:hAnsi="宋体" w:cs="宋体"/>
          <w:color w:val="000000"/>
          <w:sz w:val="21"/>
          <w:szCs w:val="21"/>
          <w:lang w:val="en-US" w:eastAsia="zh-CN"/>
        </w:rPr>
        <w:t>外协产品处理表</w:t>
      </w:r>
      <w:r>
        <w:rPr>
          <w:rFonts w:hint="eastAsia" w:ascii="宋体" w:hAnsi="宋体" w:cs="宋体"/>
          <w:color w:val="000000"/>
          <w:sz w:val="21"/>
          <w:szCs w:val="21"/>
        </w:rPr>
        <w:t>》在ERP上发起不合格处理流程；针对过程检验不合格，车间检验员通知本车间操作工及时记录和标识，车间操作工采取相应措施进行处理，处理后，通知车间检验员重新取样分析，直至重新检验合格。针对成品检验不合格，由</w:t>
      </w:r>
      <w:r>
        <w:rPr>
          <w:rFonts w:hint="eastAsia" w:ascii="宋体" w:hAnsi="宋体" w:cs="宋体"/>
          <w:color w:val="000000"/>
          <w:sz w:val="21"/>
          <w:szCs w:val="21"/>
          <w:lang w:eastAsia="zh-CN"/>
        </w:rPr>
        <w:t>品控中心</w:t>
      </w:r>
      <w:r>
        <w:rPr>
          <w:rFonts w:hint="eastAsia" w:ascii="宋体" w:hAnsi="宋体" w:cs="宋体"/>
          <w:color w:val="000000"/>
          <w:sz w:val="21"/>
          <w:szCs w:val="21"/>
        </w:rPr>
        <w:t>填写不合格检验报告单及《</w:t>
      </w:r>
      <w:r>
        <w:rPr>
          <w:rFonts w:hint="eastAsia" w:ascii="宋体" w:hAnsi="宋体" w:cs="宋体"/>
          <w:color w:val="000000"/>
          <w:sz w:val="21"/>
          <w:szCs w:val="21"/>
          <w:lang w:val="en-US" w:eastAsia="zh-CN"/>
        </w:rPr>
        <w:t>生产异常单</w:t>
      </w:r>
      <w:r>
        <w:rPr>
          <w:rFonts w:hint="eastAsia" w:ascii="宋体" w:hAnsi="宋体" w:cs="宋体"/>
          <w:color w:val="000000"/>
          <w:sz w:val="21"/>
          <w:szCs w:val="21"/>
        </w:rPr>
        <w:t>》，送交</w:t>
      </w:r>
      <w:r>
        <w:rPr>
          <w:rFonts w:hint="eastAsia" w:ascii="宋体" w:hAnsi="宋体" w:cs="宋体"/>
          <w:color w:val="000000"/>
          <w:sz w:val="21"/>
          <w:szCs w:val="21"/>
          <w:lang w:val="en-US" w:eastAsia="zh-CN"/>
        </w:rPr>
        <w:t>生产中心</w:t>
      </w:r>
      <w:r>
        <w:rPr>
          <w:rFonts w:hint="eastAsia" w:ascii="宋体" w:hAnsi="宋体" w:cs="宋体"/>
          <w:color w:val="000000"/>
          <w:sz w:val="21"/>
          <w:szCs w:val="21"/>
        </w:rPr>
        <w:t>，同时通知生产车间做好不合格品的标识、隔离；由</w:t>
      </w:r>
      <w:r>
        <w:rPr>
          <w:rFonts w:hint="eastAsia" w:ascii="宋体" w:hAnsi="宋体" w:cs="宋体"/>
          <w:color w:val="000000"/>
          <w:sz w:val="21"/>
          <w:szCs w:val="21"/>
          <w:lang w:val="en-US" w:eastAsia="zh-CN"/>
        </w:rPr>
        <w:t>生产中心</w:t>
      </w:r>
      <w:r>
        <w:rPr>
          <w:rFonts w:hint="eastAsia" w:ascii="宋体" w:hAnsi="宋体" w:cs="宋体"/>
          <w:color w:val="000000"/>
          <w:sz w:val="21"/>
          <w:szCs w:val="21"/>
        </w:rPr>
        <w:t>对该批不合格品进行评审，提出返工、降级、让步、报废等处理意见，通知有关部门实施。对可返工处理的不合格品，经过返工处理后，由车间填写请检单，通知</w:t>
      </w:r>
      <w:r>
        <w:rPr>
          <w:rFonts w:hint="eastAsia" w:ascii="宋体" w:hAnsi="宋体" w:cs="宋体"/>
          <w:color w:val="000000"/>
          <w:sz w:val="21"/>
          <w:szCs w:val="21"/>
          <w:lang w:eastAsia="zh-CN"/>
        </w:rPr>
        <w:t>品控中心</w:t>
      </w:r>
      <w:r>
        <w:rPr>
          <w:rFonts w:hint="eastAsia" w:ascii="宋体" w:hAnsi="宋体" w:cs="宋体"/>
          <w:color w:val="000000"/>
          <w:sz w:val="21"/>
          <w:szCs w:val="21"/>
          <w:lang w:val="en-US" w:eastAsia="zh-CN"/>
        </w:rPr>
        <w:t>检验</w:t>
      </w:r>
      <w:r>
        <w:rPr>
          <w:rFonts w:hint="eastAsia" w:ascii="宋体" w:hAnsi="宋体" w:cs="宋体"/>
          <w:color w:val="000000"/>
          <w:sz w:val="21"/>
          <w:szCs w:val="21"/>
        </w:rPr>
        <w:t>，出具检验报告单，确认质量上完全符合标准要求时方可入库；对不能重新返工处理，但尚有使用价值，且又有顾客需要的产品，</w:t>
      </w:r>
      <w:r>
        <w:rPr>
          <w:rFonts w:hint="eastAsia" w:ascii="宋体" w:hAnsi="宋体" w:cs="宋体"/>
          <w:color w:val="000000"/>
          <w:sz w:val="21"/>
          <w:szCs w:val="21"/>
          <w:lang w:eastAsia="zh-CN"/>
        </w:rPr>
        <w:t>品控中心</w:t>
      </w:r>
      <w:r>
        <w:rPr>
          <w:rFonts w:hint="eastAsia" w:ascii="宋体" w:hAnsi="宋体" w:cs="宋体"/>
          <w:color w:val="000000"/>
          <w:sz w:val="21"/>
          <w:szCs w:val="21"/>
        </w:rPr>
        <w:t>接相关部门通知后，填写《让步申请表》，报主管总经理审批后才可交付。如下所示，为原辅材料、过程、成品检验不合格管控流程。</w:t>
      </w:r>
    </w:p>
    <w:p>
      <w:pPr>
        <w:tabs>
          <w:tab w:val="left" w:pos="3654"/>
        </w:tabs>
        <w:adjustRightInd w:val="0"/>
        <w:snapToGrid w:val="0"/>
        <w:spacing w:line="360" w:lineRule="auto"/>
        <w:jc w:val="left"/>
        <w:rPr>
          <w:rFonts w:hint="eastAsia" w:ascii="宋体" w:hAnsi="宋体" w:cs="宋体"/>
          <w:color w:val="000000"/>
          <w:sz w:val="21"/>
          <w:szCs w:val="21"/>
        </w:rPr>
      </w:pPr>
    </w:p>
    <w:p>
      <w:pPr>
        <w:pStyle w:val="5"/>
        <w:numPr>
          <w:ilvl w:val="0"/>
          <w:numId w:val="3"/>
        </w:numPr>
        <w:rPr>
          <w:rFonts w:hAnsi="宋体"/>
          <w:sz w:val="21"/>
          <w:szCs w:val="21"/>
        </w:rPr>
      </w:pPr>
      <w:bookmarkStart w:id="12" w:name="_Toc16918"/>
      <w:r>
        <w:rPr>
          <w:rFonts w:hint="eastAsia" w:hAnsi="宋体"/>
          <w:sz w:val="21"/>
          <w:szCs w:val="21"/>
          <w:lang w:val="en-US" w:eastAsia="zh-CN"/>
        </w:rPr>
        <w:t>质量保障系统</w:t>
      </w:r>
      <w:bookmarkEnd w:id="12"/>
    </w:p>
    <w:p>
      <w:pPr>
        <w:tabs>
          <w:tab w:val="left" w:pos="3654"/>
        </w:tabs>
        <w:adjustRightInd w:val="0"/>
        <w:snapToGrid w:val="0"/>
        <w:spacing w:line="36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rPr>
        <w:t>公司制定了《</w:t>
      </w:r>
      <w:r>
        <w:rPr>
          <w:rFonts w:hint="eastAsia" w:ascii="宋体" w:hAnsi="宋体" w:cs="宋体"/>
          <w:color w:val="000000"/>
          <w:sz w:val="21"/>
          <w:szCs w:val="21"/>
          <w:lang w:val="en-US" w:eastAsia="zh-CN"/>
        </w:rPr>
        <w:t>产品召回控制程序</w:t>
      </w:r>
      <w:r>
        <w:rPr>
          <w:rFonts w:hint="eastAsia" w:ascii="宋体" w:hAnsi="宋体" w:cs="宋体"/>
          <w:color w:val="000000"/>
          <w:sz w:val="21"/>
          <w:szCs w:val="21"/>
        </w:rPr>
        <w:t>》，对不合格发运出公司造成大批退货、或国家、省级产品质量监督抽查不合格等不合格输出的情况进行了识别，同时建立了处置、处罚机制。</w:t>
      </w:r>
    </w:p>
    <w:p>
      <w:pPr>
        <w:tabs>
          <w:tab w:val="left" w:pos="3654"/>
        </w:tabs>
        <w:adjustRightInd w:val="0"/>
        <w:snapToGrid w:val="0"/>
        <w:spacing w:line="36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rPr>
        <w:t xml:space="preserve">公司保留下列形成文件的信息： </w:t>
      </w:r>
    </w:p>
    <w:p>
      <w:pPr>
        <w:tabs>
          <w:tab w:val="left" w:pos="3654"/>
        </w:tabs>
        <w:adjustRightInd w:val="0"/>
        <w:snapToGrid w:val="0"/>
        <w:spacing w:line="36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rPr>
        <w:t xml:space="preserve">a) 有关不合格的描述； </w:t>
      </w:r>
    </w:p>
    <w:p>
      <w:pPr>
        <w:tabs>
          <w:tab w:val="left" w:pos="3654"/>
        </w:tabs>
        <w:adjustRightInd w:val="0"/>
        <w:snapToGrid w:val="0"/>
        <w:spacing w:line="36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rPr>
        <w:t xml:space="preserve">b) 所采取措施的描述； </w:t>
      </w:r>
    </w:p>
    <w:p>
      <w:pPr>
        <w:tabs>
          <w:tab w:val="left" w:pos="3654"/>
        </w:tabs>
        <w:adjustRightInd w:val="0"/>
        <w:snapToGrid w:val="0"/>
        <w:spacing w:line="36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rPr>
        <w:t xml:space="preserve">c) 获得让步的描述； </w:t>
      </w:r>
    </w:p>
    <w:p>
      <w:pPr>
        <w:tabs>
          <w:tab w:val="left" w:pos="3654"/>
        </w:tabs>
        <w:adjustRightInd w:val="0"/>
        <w:snapToGrid w:val="0"/>
        <w:spacing w:line="360" w:lineRule="auto"/>
        <w:ind w:firstLine="420" w:firstLineChars="200"/>
        <w:jc w:val="left"/>
        <w:rPr>
          <w:rFonts w:hint="eastAsia"/>
        </w:rPr>
      </w:pPr>
      <w:r>
        <w:rPr>
          <w:rFonts w:hint="eastAsia" w:ascii="宋体" w:hAnsi="宋体" w:cs="宋体"/>
          <w:color w:val="000000"/>
          <w:sz w:val="21"/>
          <w:szCs w:val="21"/>
        </w:rPr>
        <w:t>d) 处置不合格的授权标识。</w:t>
      </w:r>
    </w:p>
    <w:p>
      <w:pPr>
        <w:pStyle w:val="5"/>
        <w:numPr>
          <w:ilvl w:val="0"/>
          <w:numId w:val="3"/>
        </w:numPr>
        <w:rPr>
          <w:rFonts w:hAnsi="宋体"/>
          <w:sz w:val="21"/>
          <w:szCs w:val="21"/>
        </w:rPr>
      </w:pPr>
      <w:bookmarkStart w:id="13" w:name="_Toc25544"/>
      <w:r>
        <w:rPr>
          <w:rFonts w:hint="eastAsia" w:hAnsi="宋体"/>
          <w:sz w:val="21"/>
          <w:szCs w:val="21"/>
        </w:rPr>
        <w:t>全员参与</w:t>
      </w:r>
      <w:bookmarkEnd w:id="13"/>
    </w:p>
    <w:p>
      <w:pPr>
        <w:tabs>
          <w:tab w:val="left" w:pos="3654"/>
        </w:tabs>
        <w:adjustRightInd w:val="0"/>
        <w:snapToGrid w:val="0"/>
        <w:spacing w:line="360" w:lineRule="auto"/>
        <w:ind w:firstLine="420" w:firstLineChars="200"/>
        <w:jc w:val="left"/>
        <w:rPr>
          <w:rFonts w:hint="eastAsia" w:ascii="宋体" w:hAnsi="宋体" w:cs="宋体"/>
          <w:color w:val="000000"/>
          <w:sz w:val="21"/>
          <w:szCs w:val="21"/>
        </w:rPr>
      </w:pPr>
    </w:p>
    <w:p>
      <w:pPr>
        <w:tabs>
          <w:tab w:val="left" w:pos="3654"/>
        </w:tabs>
        <w:adjustRightInd w:val="0"/>
        <w:snapToGrid w:val="0"/>
        <w:spacing w:line="36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rPr>
        <w:t>公司重视质量文化建设，引导全员参与质量管理，通过不断深入开展合理化提案、日常质量改善、技术革新等措施，使广大员工充分参与到质量改善的每一个环节，提升产品质量、分享改善成果。</w:t>
      </w:r>
    </w:p>
    <w:p>
      <w:pPr>
        <w:tabs>
          <w:tab w:val="left" w:pos="3654"/>
        </w:tabs>
        <w:adjustRightInd w:val="0"/>
        <w:snapToGrid w:val="0"/>
        <w:spacing w:line="36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rPr>
        <w:t>围绕企业文化，公司建立了一整套道德规范道体系，正确处理好企业与员工、社会等之间的关系，做到讲道德、依法纪。</w:t>
      </w:r>
    </w:p>
    <w:p>
      <w:pPr>
        <w:tabs>
          <w:tab w:val="left" w:pos="3654"/>
        </w:tabs>
        <w:adjustRightInd w:val="0"/>
        <w:snapToGrid w:val="0"/>
        <w:spacing w:line="36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rPr>
        <w:t>1）为规范员工职业行为，树立廉洁从业、勤勉敬业的良好风气，公司制订了一系列道德行为准则，组织员工认真学习《员工日常行为规范》、《员工手册》，遵守公司的职业道德和行为准则。</w:t>
      </w:r>
    </w:p>
    <w:p>
      <w:pPr>
        <w:tabs>
          <w:tab w:val="left" w:pos="3654"/>
        </w:tabs>
        <w:adjustRightInd w:val="0"/>
        <w:snapToGrid w:val="0"/>
        <w:spacing w:line="36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rPr>
        <w:t>2）从意识、行为上加以教育、引导，严格要求品行。</w:t>
      </w:r>
    </w:p>
    <w:p>
      <w:pPr>
        <w:pStyle w:val="5"/>
        <w:numPr>
          <w:ilvl w:val="0"/>
          <w:numId w:val="3"/>
        </w:numPr>
        <w:rPr>
          <w:rFonts w:hint="eastAsia" w:ascii="宋体" w:hAnsi="宋体" w:cs="宋体"/>
          <w:color w:val="000000"/>
          <w:sz w:val="21"/>
          <w:szCs w:val="21"/>
        </w:rPr>
      </w:pPr>
      <w:bookmarkStart w:id="14" w:name="_Toc5473"/>
      <w:r>
        <w:rPr>
          <w:rFonts w:hint="eastAsia" w:ascii="宋体" w:hAnsi="宋体" w:cs="宋体"/>
          <w:color w:val="000000"/>
          <w:sz w:val="21"/>
          <w:szCs w:val="21"/>
        </w:rPr>
        <w:t>诚信教育</w:t>
      </w:r>
      <w:bookmarkEnd w:id="14"/>
    </w:p>
    <w:p>
      <w:pPr>
        <w:tabs>
          <w:tab w:val="left" w:pos="3654"/>
        </w:tabs>
        <w:adjustRightInd w:val="0"/>
        <w:snapToGrid w:val="0"/>
        <w:spacing w:line="36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rPr>
        <w:t>为加强生产过程质量控制和提高员工质量意识，公司不定期组织相关质量意识、诚信意识、工艺要求、设备知识等技能培训以及学历培训，由公司内训师或外聘讲师负责技能培训。形式、方法多样，以提高培训效果。根据培训情况后续持续关注培训效果并作效果评估。</w:t>
      </w:r>
    </w:p>
    <w:p>
      <w:pPr>
        <w:tabs>
          <w:tab w:val="left" w:pos="3654"/>
        </w:tabs>
        <w:adjustRightInd w:val="0"/>
        <w:snapToGrid w:val="0"/>
        <w:spacing w:line="36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rPr>
        <w:t>公司通过提高广大员工诚实守信的道德素质，建设了一支讲诚信、业务精、作风硬的高素质员工队伍。公司始终以遵章守法为前提，以消费者需求为中心，以优质服务的手段开展生产经营活动，使诚实守信渗透到企业经营的各个环节。</w:t>
      </w:r>
    </w:p>
    <w:p>
      <w:pPr>
        <w:rPr>
          <w:rFonts w:hAnsi="宋体"/>
        </w:rPr>
      </w:pPr>
      <w:bookmarkStart w:id="15" w:name="_Toc26491"/>
      <w:r>
        <w:rPr>
          <w:rFonts w:hint="eastAsia" w:hAnsi="宋体"/>
        </w:rPr>
        <w:br w:type="page"/>
      </w:r>
    </w:p>
    <w:p>
      <w:pPr>
        <w:pStyle w:val="4"/>
        <w:numPr>
          <w:ilvl w:val="0"/>
          <w:numId w:val="2"/>
        </w:numPr>
        <w:spacing w:after="240"/>
        <w:jc w:val="center"/>
        <w:rPr>
          <w:rFonts w:hAnsi="宋体"/>
        </w:rPr>
      </w:pPr>
      <w:r>
        <w:rPr>
          <w:rFonts w:hint="eastAsia" w:hAnsi="宋体"/>
        </w:rPr>
        <w:t>产品质量责任</w:t>
      </w:r>
      <w:bookmarkEnd w:id="15"/>
    </w:p>
    <w:p>
      <w:pPr>
        <w:pStyle w:val="5"/>
        <w:numPr>
          <w:ilvl w:val="0"/>
          <w:numId w:val="4"/>
        </w:numPr>
        <w:rPr>
          <w:rFonts w:hint="eastAsia" w:ascii="宋体" w:hAnsi="宋体" w:cs="宋体"/>
          <w:color w:val="000000"/>
          <w:sz w:val="21"/>
          <w:szCs w:val="21"/>
        </w:rPr>
      </w:pPr>
      <w:bookmarkStart w:id="16" w:name="_Toc31660"/>
      <w:r>
        <w:rPr>
          <w:rFonts w:hint="eastAsia" w:ascii="宋体" w:hAnsi="宋体" w:cs="宋体"/>
          <w:color w:val="000000"/>
          <w:sz w:val="21"/>
          <w:szCs w:val="21"/>
          <w:lang w:val="en-US" w:eastAsia="zh-CN"/>
        </w:rPr>
        <w:t>产品质量</w:t>
      </w:r>
      <w:r>
        <w:rPr>
          <w:rFonts w:hint="eastAsia" w:ascii="宋体" w:hAnsi="宋体" w:cs="宋体"/>
          <w:color w:val="000000"/>
          <w:sz w:val="21"/>
          <w:szCs w:val="21"/>
        </w:rPr>
        <w:t>承诺</w:t>
      </w:r>
      <w:bookmarkEnd w:id="16"/>
    </w:p>
    <w:p>
      <w:pPr>
        <w:rPr>
          <w:rFonts w:hint="eastAsia"/>
        </w:rPr>
      </w:pPr>
      <w:r>
        <w:rPr>
          <w:rFonts w:hint="eastAsia"/>
        </w:rPr>
        <w:t>1、本企业严格遵守《劳动法》、《安全生产法》、《职业病防治法》等相关法律法规，依法诚信经营。</w:t>
      </w:r>
    </w:p>
    <w:p>
      <w:pPr>
        <w:rPr>
          <w:rFonts w:hint="eastAsia"/>
        </w:rPr>
      </w:pPr>
      <w:r>
        <w:rPr>
          <w:rFonts w:hint="eastAsia"/>
        </w:rPr>
        <w:t>2、在产品研发及加工过程决不剽窃他人技术、专利、工艺等知识产权，绝不使用剽窃他人技术的原材料。</w:t>
      </w:r>
    </w:p>
    <w:p>
      <w:pPr>
        <w:rPr>
          <w:rFonts w:hint="eastAsia"/>
        </w:rPr>
      </w:pPr>
      <w:r>
        <w:rPr>
          <w:rFonts w:hint="eastAsia"/>
        </w:rPr>
        <w:t>3、本企业周围环境、生产现场符合国家法规的要求。</w:t>
      </w:r>
    </w:p>
    <w:p>
      <w:pPr>
        <w:rPr>
          <w:rFonts w:hint="eastAsia"/>
        </w:rPr>
      </w:pPr>
      <w:r>
        <w:rPr>
          <w:rFonts w:hint="eastAsia"/>
        </w:rPr>
        <w:t>4、本企业严格执行原辅材料检验制度，所用的原辅材料及包装材料符合相应的国家标准、行业标准及其相关规定。</w:t>
      </w:r>
    </w:p>
    <w:p>
      <w:pPr>
        <w:rPr>
          <w:rFonts w:hint="eastAsia"/>
        </w:rPr>
      </w:pPr>
      <w:r>
        <w:rPr>
          <w:rFonts w:hint="eastAsia"/>
        </w:rPr>
        <w:t>5、不允许假冒伪劣原材料进厂，不使用检验不合格原材料进行生产。</w:t>
      </w:r>
    </w:p>
    <w:p>
      <w:pPr>
        <w:rPr>
          <w:rFonts w:hint="eastAsia"/>
        </w:rPr>
      </w:pPr>
      <w:r>
        <w:rPr>
          <w:rFonts w:hint="eastAsia"/>
        </w:rPr>
        <w:t>6、保证不生产加工假冒伪劣产品，承诺产品出厂产品批批检测，未经检验的产品绝不出厂。</w:t>
      </w:r>
    </w:p>
    <w:p>
      <w:pPr>
        <w:rPr>
          <w:rFonts w:hint="eastAsia"/>
        </w:rPr>
      </w:pPr>
      <w:r>
        <w:rPr>
          <w:rFonts w:hint="eastAsia"/>
        </w:rPr>
        <w:t>7、检验不合格的产品绝不出厂，决不以不合格品冒充合格品出厂。</w:t>
      </w:r>
    </w:p>
    <w:p>
      <w:pPr>
        <w:rPr>
          <w:rFonts w:hint="eastAsia"/>
        </w:rPr>
      </w:pPr>
      <w:r>
        <w:rPr>
          <w:rFonts w:hint="eastAsia"/>
        </w:rPr>
        <w:t xml:space="preserve">8、所采用的仪器设备严格按照国家法定要求进行检定，检定不合格的仪器设备绝不用于产品检测。 </w:t>
      </w:r>
    </w:p>
    <w:p>
      <w:pPr>
        <w:rPr>
          <w:rFonts w:hint="eastAsia"/>
        </w:rPr>
      </w:pPr>
      <w:r>
        <w:rPr>
          <w:rFonts w:hint="eastAsia"/>
        </w:rPr>
        <w:t>9、保证所生产的每一批产品都能进行追溯，如生产日期、班次，生产原料、生产过程、检验人员等等。</w:t>
      </w:r>
    </w:p>
    <w:p>
      <w:pPr>
        <w:pStyle w:val="5"/>
        <w:numPr>
          <w:ilvl w:val="0"/>
          <w:numId w:val="4"/>
        </w:numPr>
        <w:rPr>
          <w:rFonts w:hint="eastAsia" w:ascii="宋体" w:hAnsi="宋体" w:cs="宋体"/>
          <w:color w:val="000000"/>
          <w:sz w:val="21"/>
          <w:szCs w:val="21"/>
        </w:rPr>
      </w:pPr>
      <w:bookmarkStart w:id="17" w:name="_Toc8718"/>
      <w:r>
        <w:rPr>
          <w:rFonts w:hint="eastAsia" w:ascii="宋体" w:hAnsi="宋体" w:cs="宋体"/>
          <w:color w:val="000000"/>
          <w:sz w:val="21"/>
          <w:szCs w:val="21"/>
        </w:rPr>
        <w:t>生产许可情况</w:t>
      </w:r>
      <w:bookmarkEnd w:id="17"/>
    </w:p>
    <w:p>
      <w:pPr>
        <w:tabs>
          <w:tab w:val="left" w:pos="3654"/>
        </w:tabs>
        <w:adjustRightInd w:val="0"/>
        <w:snapToGrid w:val="0"/>
        <w:spacing w:line="36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rPr>
        <w:t>本公司生产加工场所、生产设备、设施、检测仪器、管理人员、技术人员等在同行业中处于先进水平，符合相关国家法律、法规要求，营业执照在有效期内。</w:t>
      </w:r>
    </w:p>
    <w:p>
      <w:pPr>
        <w:pStyle w:val="5"/>
        <w:numPr>
          <w:ilvl w:val="0"/>
          <w:numId w:val="4"/>
        </w:numPr>
        <w:rPr>
          <w:rFonts w:hint="eastAsia" w:ascii="宋体" w:hAnsi="宋体" w:cs="宋体"/>
          <w:color w:val="000000"/>
          <w:sz w:val="21"/>
          <w:szCs w:val="21"/>
          <w:highlight w:val="none"/>
        </w:rPr>
      </w:pPr>
      <w:r>
        <w:rPr>
          <w:rFonts w:hint="eastAsia" w:ascii="宋体" w:hAnsi="宋体" w:cs="宋体"/>
          <w:color w:val="000000"/>
          <w:sz w:val="21"/>
          <w:szCs w:val="21"/>
          <w:highlight w:val="none"/>
          <w:lang w:val="en-US" w:eastAsia="zh-CN"/>
        </w:rPr>
        <w:t>售后</w:t>
      </w:r>
      <w:r>
        <w:rPr>
          <w:rFonts w:hint="eastAsia" w:ascii="宋体" w:hAnsi="宋体" w:cs="宋体"/>
          <w:color w:val="000000"/>
          <w:sz w:val="21"/>
          <w:szCs w:val="21"/>
          <w:highlight w:val="none"/>
        </w:rPr>
        <w:t>质量承诺</w:t>
      </w:r>
    </w:p>
    <w:p>
      <w:pPr>
        <w:pStyle w:val="2"/>
        <w:ind w:left="0" w:leftChars="0" w:firstLine="0" w:firstLineChars="0"/>
        <w:rPr>
          <w:rFonts w:hint="eastAsia"/>
        </w:rPr>
      </w:pPr>
    </w:p>
    <w:p>
      <w:pPr>
        <w:tabs>
          <w:tab w:val="left" w:pos="3654"/>
        </w:tabs>
        <w:adjustRightInd w:val="0"/>
        <w:snapToGrid w:val="0"/>
        <w:spacing w:line="360" w:lineRule="auto"/>
        <w:ind w:firstLine="420" w:firstLineChars="200"/>
        <w:jc w:val="left"/>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公司对浙江制造认证产品做出以下承诺：</w:t>
      </w:r>
    </w:p>
    <w:p>
      <w:pPr>
        <w:rPr>
          <w:rFonts w:hint="eastAsia"/>
          <w:lang w:val="en-US" w:eastAsia="zh-CN"/>
        </w:rPr>
      </w:pPr>
      <w:r>
        <w:rPr>
          <w:rFonts w:hint="eastAsia"/>
          <w:lang w:val="en-US" w:eastAsia="zh-CN"/>
        </w:rPr>
        <w:t xml:space="preserve">1、在规定的贮存、运输、使用条件下，自出厂之日起 5 年内，在正常环境及正确使用方法下产生的产品质量问题，并经确认是生产厂商的质量问题，承诺提供维修服务并承担相关责任。 </w:t>
      </w:r>
    </w:p>
    <w:p>
      <w:pPr>
        <w:rPr>
          <w:rFonts w:hint="eastAsia"/>
        </w:rPr>
      </w:pPr>
      <w:r>
        <w:rPr>
          <w:rFonts w:hint="eastAsia"/>
          <w:lang w:val="en-US" w:eastAsia="zh-CN"/>
        </w:rPr>
        <w:t>2、客户对产品质量有异议时，本公司在 24 小时之内做出响应，及时为用户提供服务和解决方案。</w:t>
      </w:r>
    </w:p>
    <w:p>
      <w:pPr>
        <w:autoSpaceDE w:val="0"/>
        <w:autoSpaceDN w:val="0"/>
        <w:adjustRightInd w:val="0"/>
        <w:spacing w:line="360" w:lineRule="auto"/>
        <w:ind w:firstLine="560" w:firstLineChars="200"/>
        <w:jc w:val="left"/>
        <w:rPr>
          <w:rFonts w:cs="宋体" w:asciiTheme="minorEastAsia" w:hAnsiTheme="minorEastAsia"/>
          <w:color w:val="000000"/>
          <w:sz w:val="28"/>
          <w:szCs w:val="28"/>
        </w:rPr>
        <w:sectPr>
          <w:footerReference r:id="rId9" w:type="default"/>
          <w:pgSz w:w="11906" w:h="16838"/>
          <w:pgMar w:top="1440" w:right="1080" w:bottom="1440" w:left="1080" w:header="851" w:footer="992" w:gutter="0"/>
          <w:cols w:space="425" w:num="1"/>
          <w:docGrid w:type="lines" w:linePitch="312" w:charSpace="0"/>
        </w:sectPr>
      </w:pPr>
    </w:p>
    <w:p>
      <w:pPr>
        <w:pStyle w:val="4"/>
        <w:pageBreakBefore/>
        <w:spacing w:line="579" w:lineRule="auto"/>
        <w:jc w:val="center"/>
      </w:pPr>
      <w:bookmarkStart w:id="18" w:name="_Toc29832"/>
      <w:bookmarkStart w:id="19" w:name="_Toc18065_WPSOffice_Level1"/>
      <w:bookmarkStart w:id="20" w:name="_Toc16054"/>
      <w:r>
        <w:rPr>
          <w:rFonts w:hint="eastAsia" w:ascii="华文新魏" w:eastAsia="华文新魏" w:cs="黑体"/>
          <w:b w:val="0"/>
          <w:bCs w:val="0"/>
          <w:kern w:val="0"/>
          <w:lang w:val="en-US"/>
        </w:rPr>
        <w:t>结 束 语</w:t>
      </w:r>
      <w:bookmarkEnd w:id="18"/>
      <w:bookmarkEnd w:id="19"/>
      <w:bookmarkEnd w:id="20"/>
    </w:p>
    <w:p>
      <w:pPr>
        <w:pStyle w:val="91"/>
        <w:ind w:firstLine="560"/>
        <w:rPr>
          <w:rFonts w:ascii="Cambria" w:hAnsi="Cambria" w:cs="Cambria"/>
          <w:kern w:val="0"/>
          <w:sz w:val="28"/>
          <w:szCs w:val="28"/>
        </w:rPr>
      </w:pPr>
      <w:r>
        <w:rPr>
          <w:rFonts w:hint="eastAsia" w:ascii="Cambria" w:hAnsi="Cambria" w:cs="Cambria"/>
          <w:kern w:val="0"/>
          <w:sz w:val="28"/>
          <w:szCs w:val="28"/>
          <w:lang w:val="en-US" w:eastAsia="zh-CN"/>
        </w:rPr>
        <w:t>近年</w:t>
      </w:r>
      <w:r>
        <w:rPr>
          <w:rFonts w:hint="eastAsia" w:ascii="Cambria" w:hAnsi="Cambria" w:cs="Cambria"/>
          <w:kern w:val="0"/>
          <w:sz w:val="28"/>
          <w:szCs w:val="28"/>
        </w:rPr>
        <w:t>来，浙江省以标准和认证为手段，以高标准引领打造“浙江制造”品牌，强调不断完善质量诚信标准体系、加快质量信用信息化建设。依据要求，公司相继完善了相关制度，认真贯彻落实，并自觉接受有关部门的监督管理。</w:t>
      </w:r>
    </w:p>
    <w:p>
      <w:pPr>
        <w:keepNext w:val="0"/>
        <w:keepLines w:val="0"/>
        <w:widowControl/>
        <w:suppressLineNumbers w:val="0"/>
        <w:spacing w:before="0" w:beforeAutospacing="0" w:after="0" w:afterAutospacing="0"/>
        <w:ind w:left="0" w:right="0" w:firstLine="560" w:firstLineChars="200"/>
        <w:jc w:val="both"/>
        <w:rPr>
          <w:rFonts w:ascii="Cambria" w:hAnsi="Cambria" w:cs="Cambria"/>
          <w:kern w:val="0"/>
          <w:sz w:val="28"/>
          <w:szCs w:val="28"/>
        </w:rPr>
      </w:pPr>
      <w:r>
        <w:rPr>
          <w:rFonts w:hint="eastAsia" w:ascii="Cambria" w:hAnsi="Cambria" w:cs="Cambria"/>
          <w:kern w:val="0"/>
          <w:sz w:val="28"/>
          <w:szCs w:val="28"/>
        </w:rPr>
        <w:t>质量诚信体系建设是一项长期的、系统的工作任务，要完善质量诚信体系建设的规章制度，巩固和深化企业质量诚信建设所取得的成效，必须建立长效机制，科学实施，常抓不懈。公司承诺坚持持续改进质量管理体系，不断提升质量诚信水平，完成“</w:t>
      </w:r>
      <w:r>
        <w:rPr>
          <w:rFonts w:hint="eastAsia" w:ascii="Cambria" w:hAnsi="Cambria" w:cs="Cambria"/>
          <w:kern w:val="0"/>
          <w:sz w:val="28"/>
          <w:szCs w:val="28"/>
          <w:lang w:val="en-US" w:eastAsia="zh-CN"/>
        </w:rPr>
        <w:t>缔造行业细分领域的隐形冠军</w:t>
      </w:r>
      <w:r>
        <w:rPr>
          <w:rFonts w:hint="eastAsia" w:ascii="Cambria" w:hAnsi="Cambria" w:cs="Cambria"/>
          <w:kern w:val="0"/>
          <w:sz w:val="28"/>
          <w:szCs w:val="28"/>
        </w:rPr>
        <w:t>”的</w:t>
      </w:r>
      <w:r>
        <w:rPr>
          <w:rFonts w:hint="eastAsia" w:ascii="Cambria" w:hAnsi="Cambria" w:cs="Cambria"/>
          <w:kern w:val="0"/>
          <w:sz w:val="28"/>
          <w:szCs w:val="28"/>
          <w:lang w:val="en-US" w:eastAsia="zh-CN"/>
        </w:rPr>
        <w:t>美好愿景</w:t>
      </w:r>
      <w:r>
        <w:rPr>
          <w:rFonts w:hint="eastAsia" w:ascii="Cambria" w:hAnsi="Cambria" w:cs="Cambria"/>
          <w:kern w:val="0"/>
          <w:sz w:val="28"/>
          <w:szCs w:val="28"/>
        </w:rPr>
        <w:t>而努力！</w:t>
      </w:r>
    </w:p>
    <w:p>
      <w:pPr>
        <w:autoSpaceDE w:val="0"/>
        <w:autoSpaceDN w:val="0"/>
        <w:adjustRightInd w:val="0"/>
        <w:spacing w:line="360" w:lineRule="auto"/>
        <w:ind w:firstLine="560" w:firstLineChars="200"/>
        <w:jc w:val="left"/>
        <w:rPr>
          <w:rFonts w:cs="宋体" w:asciiTheme="minorEastAsia" w:hAnsiTheme="minorEastAsia"/>
          <w:color w:val="000000"/>
          <w:sz w:val="28"/>
          <w:szCs w:val="28"/>
        </w:rPr>
      </w:pPr>
    </w:p>
    <w:p>
      <w:pPr>
        <w:autoSpaceDE w:val="0"/>
        <w:autoSpaceDN w:val="0"/>
        <w:adjustRightInd w:val="0"/>
        <w:spacing w:line="360" w:lineRule="auto"/>
        <w:ind w:firstLine="560" w:firstLineChars="200"/>
        <w:jc w:val="left"/>
        <w:rPr>
          <w:rFonts w:cs="宋体" w:asciiTheme="minorEastAsia" w:hAnsiTheme="minorEastAsia"/>
          <w:color w:val="000000"/>
          <w:sz w:val="28"/>
          <w:szCs w:val="28"/>
        </w:rPr>
      </w:pPr>
    </w:p>
    <w:p>
      <w:pPr>
        <w:autoSpaceDE w:val="0"/>
        <w:autoSpaceDN w:val="0"/>
        <w:adjustRightInd w:val="0"/>
        <w:spacing w:line="360" w:lineRule="auto"/>
        <w:ind w:firstLine="560" w:firstLineChars="200"/>
        <w:jc w:val="right"/>
        <w:rPr>
          <w:rFonts w:hint="eastAsia" w:cs="宋体" w:asciiTheme="minorEastAsia" w:hAnsiTheme="minorEastAsia"/>
          <w:color w:val="000000"/>
          <w:sz w:val="28"/>
          <w:szCs w:val="28"/>
          <w:lang w:eastAsia="zh-CN"/>
        </w:rPr>
      </w:pPr>
      <w:r>
        <w:rPr>
          <w:rFonts w:hint="eastAsia" w:cs="宋体" w:asciiTheme="minorEastAsia" w:hAnsiTheme="minorEastAsia"/>
          <w:color w:val="000000"/>
          <w:sz w:val="28"/>
          <w:szCs w:val="28"/>
          <w:lang w:eastAsia="zh-CN"/>
        </w:rPr>
        <w:t>钱江集团温岭正峰动力有限公司</w:t>
      </w:r>
    </w:p>
    <w:p>
      <w:pPr>
        <w:autoSpaceDE w:val="0"/>
        <w:autoSpaceDN w:val="0"/>
        <w:adjustRightInd w:val="0"/>
        <w:spacing w:line="360" w:lineRule="auto"/>
        <w:ind w:firstLine="560" w:firstLineChars="200"/>
        <w:jc w:val="right"/>
        <w:rPr>
          <w:rFonts w:ascii="宋体" w:hAnsi="宋体" w:cs="宋体"/>
          <w:color w:val="000000"/>
          <w:sz w:val="24"/>
          <w:szCs w:val="24"/>
        </w:rPr>
      </w:pPr>
      <w:r>
        <w:rPr>
          <w:rFonts w:cs="宋体" w:asciiTheme="minorEastAsia" w:hAnsiTheme="minorEastAsia"/>
          <w:color w:val="000000"/>
          <w:sz w:val="28"/>
          <w:szCs w:val="28"/>
        </w:rPr>
        <w:t>二</w:t>
      </w:r>
      <w:r>
        <w:rPr>
          <w:rFonts w:hint="eastAsia" w:ascii="宋体" w:hAnsi="宋体" w:eastAsia="宋体" w:cs="宋体"/>
          <w:color w:val="000000"/>
          <w:sz w:val="28"/>
          <w:szCs w:val="28"/>
        </w:rPr>
        <w:t>〇</w:t>
      </w:r>
      <w:r>
        <w:rPr>
          <w:rFonts w:hint="eastAsia" w:ascii="华文新魏" w:hAnsi="华文新魏" w:eastAsia="华文新魏" w:cs="华文新魏"/>
          <w:color w:val="000000"/>
          <w:sz w:val="28"/>
          <w:szCs w:val="28"/>
        </w:rPr>
        <w:t>二二</w:t>
      </w:r>
      <w:r>
        <w:rPr>
          <w:rFonts w:cs="宋体" w:asciiTheme="minorEastAsia" w:hAnsiTheme="minorEastAsia"/>
          <w:color w:val="000000"/>
          <w:sz w:val="28"/>
          <w:szCs w:val="28"/>
        </w:rPr>
        <w:t>年</w:t>
      </w:r>
      <w:r>
        <w:rPr>
          <w:rFonts w:hint="eastAsia" w:eastAsia="宋体" w:cs="宋体" w:asciiTheme="minorEastAsia" w:hAnsiTheme="minorEastAsia"/>
          <w:color w:val="000000"/>
          <w:sz w:val="28"/>
          <w:szCs w:val="28"/>
          <w:lang w:val="en-US" w:eastAsia="zh-CN"/>
        </w:rPr>
        <w:t>七</w:t>
      </w:r>
      <w:r>
        <w:rPr>
          <w:rFonts w:cs="宋体" w:asciiTheme="minorEastAsia" w:hAnsiTheme="minorEastAsia"/>
          <w:color w:val="000000"/>
          <w:sz w:val="28"/>
          <w:szCs w:val="28"/>
        </w:rPr>
        <w:t>月十</w:t>
      </w:r>
      <w:r>
        <w:rPr>
          <w:rFonts w:ascii="宋体" w:hAnsi="宋体" w:cs="宋体"/>
          <w:color w:val="000000"/>
          <w:sz w:val="28"/>
          <w:szCs w:val="28"/>
        </w:rPr>
        <w:t>日</w:t>
      </w:r>
    </w:p>
    <w:p/>
    <w:sectPr>
      <w:headerReference r:id="rId10" w:type="default"/>
      <w:footerReference r:id="rId11"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Trebuchet MS">
    <w:panose1 w:val="020B0603020202020204"/>
    <w:charset w:val="00"/>
    <w:family w:val="swiss"/>
    <w:pitch w:val="default"/>
    <w:sig w:usb0="00000687" w:usb1="00000000" w:usb2="00000000" w:usb3="00000000" w:csb0="2000009F" w:csb1="00000000"/>
  </w:font>
  <w:font w:name="华文新魏">
    <w:altName w:val="宋体"/>
    <w:panose1 w:val="02010800040101010101"/>
    <w:charset w:val="86"/>
    <w:family w:val="auto"/>
    <w:pitch w:val="default"/>
    <w:sig w:usb0="00000000" w:usb1="00000000" w:usb2="00000000" w:usb3="00000000" w:csb0="00040000" w:csb1="00000000"/>
  </w:font>
  <w:font w:name="方正姚体">
    <w:altName w:val="宋体"/>
    <w:panose1 w:val="02010601030101010101"/>
    <w:charset w:val="86"/>
    <w:family w:val="auto"/>
    <w:pitch w:val="default"/>
    <w:sig w:usb0="00000000" w:usb1="00000000" w:usb2="00000000" w:usb3="00000000" w:csb0="00040000" w:csb1="00000000"/>
  </w:font>
  <w:font w:name="Bookman Old Style">
    <w:altName w:val="Times New Roman"/>
    <w:panose1 w:val="02050604050505020204"/>
    <w:charset w:val="00"/>
    <w:family w:val="roman"/>
    <w:pitch w:val="default"/>
    <w:sig w:usb0="00000000"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EHKHQN+ËÎÌå">
    <w:altName w:val="微软雅黑"/>
    <w:panose1 w:val="00000000000000000000"/>
    <w:charset w:val="01"/>
    <w:family w:val="auto"/>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华文新魏">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姚体">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enter" w:pos="4507"/>
        <w:tab w:val="clear" w:pos="4153"/>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Ee1xgLLAQAAnAMAAA4AAAAAAAAAAQAgAAAAHgEAAGRycy9lMm9E&#10;b2MueG1sUEsFBgAAAAAGAAYAWQEAAFsFAAAAAA==&#10;">
              <v:fill on="f" focussize="0,0"/>
              <v:stroke on="f"/>
              <v:imagedata o:title=""/>
              <o:lock v:ext="edit" aspectratio="f"/>
              <v:textbox inset="0mm,0mm,0mm,0mm" style="mso-fit-shape-to-text:t;">
                <w:txbxContent>
                  <w:p>
                    <w:pPr>
                      <w:pStyle w:val="18"/>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wrap="none" lIns="0" tIns="0" rIns="0" bIns="0" upright="1">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OORdRvLAQAAnAMAAA4AAAAAAAAAAQAgAAAAHgEAAGRycy9lMm9E&#10;b2MueG1sUEsFBgAAAAAGAAYAWQEAAFsFAAAAAA==&#10;">
              <v:fill on="f" focussize="0,0"/>
              <v:stroke on="f"/>
              <v:imagedata o:title=""/>
              <o:lock v:ext="edit" aspectratio="f"/>
              <v:textbox inset="0mm,0mm,0mm,0mm" style="mso-fit-shape-to-text:t;">
                <w:txbxContent>
                  <w:p>
                    <w:pPr>
                      <w:pStyle w:val="18"/>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sdt>
                          <w:sdtPr>
                            <w:id w:val="2"/>
                          </w:sdtPr>
                          <w:sdtContent>
                            <w:p>
                              <w:pPr>
                                <w:pStyle w:val="18"/>
                                <w:jc w:val="center"/>
                              </w:pPr>
                              <w:r>
                                <w:fldChar w:fldCharType="begin"/>
                              </w:r>
                              <w:r>
                                <w:instrText xml:space="preserve">PAGE   \* MERGEFORMAT</w:instrText>
                              </w:r>
                              <w:r>
                                <w:fldChar w:fldCharType="separate"/>
                              </w:r>
                              <w:r>
                                <w:rPr>
                                  <w:lang w:val="zh-CN"/>
                                </w:rPr>
                                <w:t>20</w:t>
                              </w:r>
                              <w:r>
                                <w:rPr>
                                  <w:lang w:val="zh-CN"/>
                                </w:rPr>
                                <w:fldChar w:fldCharType="end"/>
                              </w:r>
                            </w:p>
                          </w:sdtContent>
                        </w:sdt>
                        <w:p/>
                      </w:txbxContent>
                    </wps:txbx>
                    <wps:bodyPr wrap="none" lIns="0" tIns="0" rIns="0" bIns="0" upright="1">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V4aQ8sBAACcAwAADgAAAGRycy9lMm9Eb2MueG1srVPNjtMwEL4j8Q6W&#10;79RpkaCK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cNfUmJ4xYHfvn+7fLj1+XnV7Ks&#10;Vq9zh/oANSbeBUxNw1s/4N7MfkBnFj6oaPMXJRGMY3/P1/7KIRGRH61X63WFIYGx+YL47OF5iJDe&#10;SW9JNhoacYClr/z0AdKYOqfkas7famPKEI37y4GY2cMy95FjttKwHyZBe9+eUU+Ps2+ow1WnxLx3&#10;2Nq8JrMRZ2M/G8cQ9aFDasvCC8KbY0IShVuuMMJOhXFoRd20YHkr/ryXrIefav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GFeGkPLAQAAnAMAAA4AAAAAAAAAAQAgAAAAHgEAAGRycy9lMm9E&#10;b2MueG1sUEsFBgAAAAAGAAYAWQEAAFsFAAAAAA==&#10;">
              <v:fill on="f" focussize="0,0"/>
              <v:stroke on="f"/>
              <v:imagedata o:title=""/>
              <o:lock v:ext="edit" aspectratio="f"/>
              <v:textbox inset="0mm,0mm,0mm,0mm" style="mso-fit-shape-to-text:t;">
                <w:txbxContent>
                  <w:sdt>
                    <w:sdtPr>
                      <w:id w:val="2"/>
                    </w:sdtPr>
                    <w:sdtContent>
                      <w:p>
                        <w:pPr>
                          <w:pStyle w:val="18"/>
                          <w:jc w:val="center"/>
                        </w:pPr>
                        <w:r>
                          <w:fldChar w:fldCharType="begin"/>
                        </w:r>
                        <w:r>
                          <w:instrText xml:space="preserve">PAGE   \* MERGEFORMAT</w:instrText>
                        </w:r>
                        <w:r>
                          <w:fldChar w:fldCharType="separate"/>
                        </w:r>
                        <w:r>
                          <w:rPr>
                            <w:lang w:val="zh-CN"/>
                          </w:rPr>
                          <w:t>20</w:t>
                        </w:r>
                        <w:r>
                          <w:rPr>
                            <w:lang w:val="zh-CN"/>
                          </w:rPr>
                          <w:fldChar w:fldCharType="end"/>
                        </w:r>
                      </w:p>
                    </w:sdtContent>
                  </w:sdt>
                  <w:p/>
                </w:txbxContent>
              </v:textbox>
            </v:shape>
          </w:pict>
        </mc:Fallback>
      </mc:AlternateContent>
    </w:r>
  </w:p>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sdt>
                          <w:sdtPr>
                            <w:id w:val="28078501"/>
                          </w:sdtPr>
                          <w:sdtContent>
                            <w:p>
                              <w:pPr>
                                <w:pStyle w:val="18"/>
                                <w:jc w:val="center"/>
                              </w:pPr>
                              <w:r>
                                <w:fldChar w:fldCharType="begin"/>
                              </w:r>
                              <w:r>
                                <w:instrText xml:space="preserve"> PAGE   \* MERGEFORMAT </w:instrText>
                              </w:r>
                              <w:r>
                                <w:fldChar w:fldCharType="separate"/>
                              </w:r>
                              <w:r>
                                <w:rPr>
                                  <w:lang w:val="zh-CN"/>
                                </w:rPr>
                                <w:t>13</w:t>
                              </w:r>
                              <w:r>
                                <w:rPr>
                                  <w:lang w:val="zh-CN"/>
                                </w:rPr>
                                <w:fldChar w:fldCharType="end"/>
                              </w:r>
                            </w:p>
                          </w:sdtContent>
                        </w:sdt>
                        <w:p/>
                      </w:txbxContent>
                    </wps:txbx>
                    <wps:bodyPr wrap="none" lIns="0" tIns="0" rIns="0" bIns="0" upright="1">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WE2uDzAEAAJwDAAAOAAAAAAAAAAEAIAAAAB4BAABkcnMvZTJv&#10;RG9jLnhtbFBLBQYAAAAABgAGAFkBAABcBQAAAAA=&#10;">
              <v:fill on="f" focussize="0,0"/>
              <v:stroke on="f"/>
              <v:imagedata o:title=""/>
              <o:lock v:ext="edit" aspectratio="f"/>
              <v:textbox inset="0mm,0mm,0mm,0mm" style="mso-fit-shape-to-text:t;">
                <w:txbxContent>
                  <w:sdt>
                    <w:sdtPr>
                      <w:id w:val="28078501"/>
                    </w:sdtPr>
                    <w:sdtContent>
                      <w:p>
                        <w:pPr>
                          <w:pStyle w:val="18"/>
                          <w:jc w:val="center"/>
                        </w:pPr>
                        <w:r>
                          <w:fldChar w:fldCharType="begin"/>
                        </w:r>
                        <w:r>
                          <w:instrText xml:space="preserve"> PAGE   \* MERGEFORMAT </w:instrText>
                        </w:r>
                        <w:r>
                          <w:fldChar w:fldCharType="separate"/>
                        </w:r>
                        <w:r>
                          <w:rPr>
                            <w:lang w:val="zh-CN"/>
                          </w:rPr>
                          <w:t>13</w:t>
                        </w:r>
                        <w:r>
                          <w:rPr>
                            <w:lang w:val="zh-CN"/>
                          </w:rPr>
                          <w:fldChar w:fldCharType="end"/>
                        </w:r>
                      </w:p>
                    </w:sdtContent>
                  </w:sdt>
                  <w:p/>
                </w:txbxContent>
              </v:textbox>
            </v:shape>
          </w:pict>
        </mc:Fallback>
      </mc:AlternateContent>
    </w:r>
  </w:p>
  <w:p>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2" w:lineRule="auto"/>
      </w:pPr>
      <w:r>
        <w:separator/>
      </w:r>
    </w:p>
  </w:footnote>
  <w:footnote w:type="continuationSeparator" w:id="1">
    <w:p>
      <w:pPr>
        <w:spacing w:before="0" w:after="0" w:line="252"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00" w:lineRule="exact"/>
      <w:jc w:val="both"/>
      <w:rPr>
        <w:rFonts w:hint="eastAsia" w:eastAsiaTheme="minorEastAsia"/>
        <w:b/>
        <w:bCs/>
        <w:sz w:val="21"/>
        <w:szCs w:val="21"/>
        <w:lang w:eastAsia="zh-CN"/>
      </w:rPr>
    </w:pPr>
    <w:r>
      <w:rPr>
        <w:rFonts w:hint="eastAsia" w:ascii="楷体" w:hAnsi="楷体" w:eastAsia="楷体" w:cs="楷体"/>
        <w:b/>
        <w:bCs/>
        <w:sz w:val="21"/>
        <w:szCs w:val="21"/>
        <w:lang w:eastAsia="zh-CN"/>
      </w:rPr>
      <w:t>钱江集团温岭正峰动力有限公司</w:t>
    </w:r>
    <w:r>
      <w:rPr>
        <w:rFonts w:hint="eastAsia"/>
      </w:rPr>
      <w:t xml:space="preserve">                             </w:t>
    </w:r>
    <w:r>
      <w:t xml:space="preserve">     </w:t>
    </w:r>
    <w:r>
      <w:rPr>
        <w:rFonts w:hint="eastAsia" w:eastAsia="宋体"/>
        <w:lang w:val="en-US" w:eastAsia="zh-CN"/>
      </w:rPr>
      <w:t xml:space="preserve">      </w:t>
    </w:r>
    <w:r>
      <w:rPr>
        <w:rFonts w:hint="eastAsia"/>
        <w:b/>
        <w:bCs/>
        <w:sz w:val="21"/>
        <w:szCs w:val="21"/>
      </w:rPr>
      <w:t xml:space="preserve"> 202</w:t>
    </w:r>
    <w:r>
      <w:rPr>
        <w:rFonts w:hint="eastAsia" w:eastAsia="宋体"/>
        <w:b/>
        <w:bCs/>
        <w:sz w:val="21"/>
        <w:szCs w:val="21"/>
        <w:lang w:val="en-US" w:eastAsia="zh-CN"/>
      </w:rPr>
      <w:t>2</w:t>
    </w:r>
    <w:r>
      <w:rPr>
        <w:rFonts w:hint="eastAsia"/>
        <w:b/>
        <w:bCs/>
        <w:sz w:val="21"/>
        <w:szCs w:val="21"/>
      </w:rPr>
      <w:t>年</w:t>
    </w:r>
    <w:r>
      <w:rPr>
        <w:rFonts w:hint="eastAsia"/>
        <w:b/>
        <w:bCs/>
        <w:sz w:val="21"/>
        <w:szCs w:val="21"/>
        <w:lang w:eastAsia="zh-CN"/>
      </w:rPr>
      <w:t>质量诚信报告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159FFB"/>
    <w:multiLevelType w:val="singleLevel"/>
    <w:tmpl w:val="A8159FFB"/>
    <w:lvl w:ilvl="0" w:tentative="0">
      <w:start w:val="2"/>
      <w:numFmt w:val="chineseCounting"/>
      <w:suff w:val="nothing"/>
      <w:lvlText w:val="%1、"/>
      <w:lvlJc w:val="left"/>
      <w:rPr>
        <w:rFonts w:hint="eastAsia"/>
      </w:rPr>
    </w:lvl>
  </w:abstractNum>
  <w:abstractNum w:abstractNumId="1">
    <w:nsid w:val="C29A745C"/>
    <w:multiLevelType w:val="singleLevel"/>
    <w:tmpl w:val="C29A745C"/>
    <w:lvl w:ilvl="0" w:tentative="0">
      <w:start w:val="1"/>
      <w:numFmt w:val="chineseCounting"/>
      <w:suff w:val="nothing"/>
      <w:lvlText w:val="%1、"/>
      <w:lvlJc w:val="left"/>
      <w:rPr>
        <w:rFonts w:hint="eastAsia"/>
      </w:rPr>
    </w:lvl>
  </w:abstractNum>
  <w:abstractNum w:abstractNumId="2">
    <w:nsid w:val="0362597E"/>
    <w:multiLevelType w:val="singleLevel"/>
    <w:tmpl w:val="0362597E"/>
    <w:lvl w:ilvl="0" w:tentative="0">
      <w:start w:val="1"/>
      <w:numFmt w:val="chineseCounting"/>
      <w:suff w:val="nothing"/>
      <w:lvlText w:val="%1、"/>
      <w:lvlJc w:val="left"/>
      <w:rPr>
        <w:rFonts w:hint="eastAsia"/>
      </w:rPr>
    </w:lvl>
  </w:abstractNum>
  <w:abstractNum w:abstractNumId="3">
    <w:nsid w:val="1FC91163"/>
    <w:multiLevelType w:val="multilevel"/>
    <w:tmpl w:val="1FC91163"/>
    <w:lvl w:ilvl="0" w:tentative="0">
      <w:start w:val="1"/>
      <w:numFmt w:val="decimal"/>
      <w:pStyle w:val="59"/>
      <w:suff w:val="nothing"/>
      <w:lvlText w:val="%1　"/>
      <w:lvlJc w:val="left"/>
      <w:rPr>
        <w:rFonts w:hint="eastAsia" w:ascii="黑体" w:hAnsi="Times New Roman" w:eastAsia="黑体" w:cs="Times New Roman"/>
        <w:b w:val="0"/>
        <w:i w:val="0"/>
        <w:sz w:val="28"/>
        <w:szCs w:val="28"/>
      </w:rPr>
    </w:lvl>
    <w:lvl w:ilvl="1" w:tentative="0">
      <w:start w:val="1"/>
      <w:numFmt w:val="decimal"/>
      <w:pStyle w:val="61"/>
      <w:suff w:val="nothing"/>
      <w:lvlText w:val="%1.%2　"/>
      <w:lvlJc w:val="left"/>
      <w:pPr>
        <w:ind w:left="630"/>
      </w:pPr>
      <w:rPr>
        <w:rFonts w:hint="eastAsia" w:ascii="黑体" w:hAnsi="Times New Roman" w:eastAsia="黑体" w:cs="Times New Roman"/>
        <w:b w:val="0"/>
        <w:bCs w:val="0"/>
        <w:i w:val="0"/>
        <w:iCs w:val="0"/>
        <w:caps w:val="0"/>
        <w:strike w:val="0"/>
        <w:dstrike w:val="0"/>
        <w:color w:val="000000"/>
        <w:spacing w:val="0"/>
        <w:kern w:val="0"/>
        <w:position w:val="0"/>
        <w:sz w:val="21"/>
        <w:szCs w:val="21"/>
        <w:u w:val="none"/>
      </w:rPr>
    </w:lvl>
    <w:lvl w:ilvl="2" w:tentative="0">
      <w:start w:val="1"/>
      <w:numFmt w:val="decimal"/>
      <w:pStyle w:val="60"/>
      <w:suff w:val="nothing"/>
      <w:lvlText w:val="%1.%2.%3　"/>
      <w:lvlJc w:val="left"/>
      <w:pPr>
        <w:ind w:left="993"/>
      </w:pPr>
      <w:rPr>
        <w:rFonts w:hint="eastAsia" w:ascii="黑体" w:hAnsi="Times New Roman" w:eastAsia="黑体" w:cs="Times New Roman"/>
        <w:b w:val="0"/>
        <w:i w:val="0"/>
        <w:sz w:val="21"/>
      </w:rPr>
    </w:lvl>
    <w:lvl w:ilvl="3" w:tentative="0">
      <w:start w:val="1"/>
      <w:numFmt w:val="decimal"/>
      <w:suff w:val="nothing"/>
      <w:lvlText w:val="%1.%2.%3.%4　"/>
      <w:lvlJc w:val="left"/>
      <w:pPr>
        <w:ind w:left="630"/>
      </w:pPr>
      <w:rPr>
        <w:rFonts w:hint="eastAsia" w:ascii="黑体" w:hAnsi="Times New Roman" w:eastAsia="黑体" w:cs="Times New Roman"/>
        <w:b w:val="0"/>
        <w:i w:val="0"/>
        <w:sz w:val="21"/>
      </w:rPr>
    </w:lvl>
    <w:lvl w:ilvl="4" w:tentative="0">
      <w:start w:val="1"/>
      <w:numFmt w:val="decimal"/>
      <w:suff w:val="nothing"/>
      <w:lvlText w:val="%1.%2.%3.%4.%5　"/>
      <w:lvlJc w:val="left"/>
      <w:rPr>
        <w:rFonts w:hint="eastAsia" w:ascii="黑体" w:hAnsi="Times New Roman" w:eastAsia="黑体" w:cs="Times New Roman"/>
        <w:b w:val="0"/>
        <w:i w:val="0"/>
        <w:sz w:val="21"/>
      </w:rPr>
    </w:lvl>
    <w:lvl w:ilvl="5" w:tentative="0">
      <w:start w:val="1"/>
      <w:numFmt w:val="decimal"/>
      <w:suff w:val="nothing"/>
      <w:lvlText w:val="%1.%2.%3.%4.%5.%6　"/>
      <w:lvlJc w:val="left"/>
      <w:rPr>
        <w:rFonts w:hint="eastAsia" w:ascii="黑体" w:hAnsi="Times New Roman" w:eastAsia="黑体" w:cs="Times New Roman"/>
        <w:b w:val="0"/>
        <w:i w:val="0"/>
        <w:sz w:val="21"/>
      </w:rPr>
    </w:lvl>
    <w:lvl w:ilvl="6" w:tentative="0">
      <w:start w:val="1"/>
      <w:numFmt w:val="decimal"/>
      <w:suff w:val="nothing"/>
      <w:lvlText w:val="%1%2.%3.%4.%5.%6.%7　"/>
      <w:lvlJc w:val="left"/>
      <w:rPr>
        <w:rFonts w:hint="eastAsia" w:ascii="黑体" w:hAnsi="Times New Roman" w:eastAsia="黑体" w:cs="Times New Roman"/>
        <w:b w:val="0"/>
        <w:i w:val="0"/>
        <w:sz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536"/>
    <w:rsid w:val="000560BD"/>
    <w:rsid w:val="000851BA"/>
    <w:rsid w:val="00085833"/>
    <w:rsid w:val="00085F2A"/>
    <w:rsid w:val="00086B0E"/>
    <w:rsid w:val="00086F9E"/>
    <w:rsid w:val="00091D6C"/>
    <w:rsid w:val="000A07DF"/>
    <w:rsid w:val="000A3A1A"/>
    <w:rsid w:val="000A656E"/>
    <w:rsid w:val="000C1140"/>
    <w:rsid w:val="000C6696"/>
    <w:rsid w:val="000D6F86"/>
    <w:rsid w:val="000F3818"/>
    <w:rsid w:val="000F747E"/>
    <w:rsid w:val="001018CA"/>
    <w:rsid w:val="00114042"/>
    <w:rsid w:val="00156B22"/>
    <w:rsid w:val="00157F8E"/>
    <w:rsid w:val="00163BAA"/>
    <w:rsid w:val="00174597"/>
    <w:rsid w:val="00177B88"/>
    <w:rsid w:val="00187FCB"/>
    <w:rsid w:val="00191C78"/>
    <w:rsid w:val="00194914"/>
    <w:rsid w:val="001A2837"/>
    <w:rsid w:val="001A6E6E"/>
    <w:rsid w:val="001A7124"/>
    <w:rsid w:val="001B2A02"/>
    <w:rsid w:val="001B37CB"/>
    <w:rsid w:val="001C778F"/>
    <w:rsid w:val="001D22EE"/>
    <w:rsid w:val="001D2FB4"/>
    <w:rsid w:val="001E5230"/>
    <w:rsid w:val="001E7CA3"/>
    <w:rsid w:val="001F19B9"/>
    <w:rsid w:val="001F34AB"/>
    <w:rsid w:val="00205614"/>
    <w:rsid w:val="00215470"/>
    <w:rsid w:val="00216122"/>
    <w:rsid w:val="0023244B"/>
    <w:rsid w:val="00256B1E"/>
    <w:rsid w:val="00262855"/>
    <w:rsid w:val="002823EF"/>
    <w:rsid w:val="00283F1D"/>
    <w:rsid w:val="002B28B4"/>
    <w:rsid w:val="002C1A9E"/>
    <w:rsid w:val="002C5412"/>
    <w:rsid w:val="002D141C"/>
    <w:rsid w:val="002E5F02"/>
    <w:rsid w:val="002F6DA8"/>
    <w:rsid w:val="00313E89"/>
    <w:rsid w:val="00315914"/>
    <w:rsid w:val="003219B5"/>
    <w:rsid w:val="003230DC"/>
    <w:rsid w:val="003518C3"/>
    <w:rsid w:val="0035604A"/>
    <w:rsid w:val="00377118"/>
    <w:rsid w:val="00391677"/>
    <w:rsid w:val="00397853"/>
    <w:rsid w:val="003D184C"/>
    <w:rsid w:val="003D65A2"/>
    <w:rsid w:val="0041370D"/>
    <w:rsid w:val="004407B5"/>
    <w:rsid w:val="00445C27"/>
    <w:rsid w:val="004537EA"/>
    <w:rsid w:val="00454CC6"/>
    <w:rsid w:val="00462DBE"/>
    <w:rsid w:val="00463CC3"/>
    <w:rsid w:val="00476229"/>
    <w:rsid w:val="004814BA"/>
    <w:rsid w:val="0048256B"/>
    <w:rsid w:val="0048473F"/>
    <w:rsid w:val="0049042B"/>
    <w:rsid w:val="004A1410"/>
    <w:rsid w:val="004B093D"/>
    <w:rsid w:val="004B567B"/>
    <w:rsid w:val="004C0B68"/>
    <w:rsid w:val="004D7F82"/>
    <w:rsid w:val="004E1DD7"/>
    <w:rsid w:val="004E1E8E"/>
    <w:rsid w:val="00500F46"/>
    <w:rsid w:val="005124AE"/>
    <w:rsid w:val="00523FC8"/>
    <w:rsid w:val="00526CAB"/>
    <w:rsid w:val="005346AB"/>
    <w:rsid w:val="00554B93"/>
    <w:rsid w:val="00571416"/>
    <w:rsid w:val="005A698F"/>
    <w:rsid w:val="005A6C54"/>
    <w:rsid w:val="005C7E6F"/>
    <w:rsid w:val="005E49BF"/>
    <w:rsid w:val="006131B1"/>
    <w:rsid w:val="0062232C"/>
    <w:rsid w:val="0063569E"/>
    <w:rsid w:val="00655620"/>
    <w:rsid w:val="006805D1"/>
    <w:rsid w:val="0068065E"/>
    <w:rsid w:val="00683987"/>
    <w:rsid w:val="006A3CEF"/>
    <w:rsid w:val="006A3ED2"/>
    <w:rsid w:val="006B3EA2"/>
    <w:rsid w:val="006C2F4C"/>
    <w:rsid w:val="006C79A7"/>
    <w:rsid w:val="006F25DA"/>
    <w:rsid w:val="007010A3"/>
    <w:rsid w:val="00715739"/>
    <w:rsid w:val="00747970"/>
    <w:rsid w:val="00747DAB"/>
    <w:rsid w:val="00762B70"/>
    <w:rsid w:val="00766018"/>
    <w:rsid w:val="00771C9A"/>
    <w:rsid w:val="00777356"/>
    <w:rsid w:val="007865A2"/>
    <w:rsid w:val="00791696"/>
    <w:rsid w:val="007957B0"/>
    <w:rsid w:val="00796A07"/>
    <w:rsid w:val="007A4ABC"/>
    <w:rsid w:val="007B10D2"/>
    <w:rsid w:val="007B1A38"/>
    <w:rsid w:val="007B284F"/>
    <w:rsid w:val="007B2BF9"/>
    <w:rsid w:val="007B75BE"/>
    <w:rsid w:val="007C6366"/>
    <w:rsid w:val="007D5111"/>
    <w:rsid w:val="007D7A2B"/>
    <w:rsid w:val="007E58A9"/>
    <w:rsid w:val="007F2D67"/>
    <w:rsid w:val="007F3B79"/>
    <w:rsid w:val="007F6C5E"/>
    <w:rsid w:val="00800143"/>
    <w:rsid w:val="00803C25"/>
    <w:rsid w:val="0082154D"/>
    <w:rsid w:val="008248AF"/>
    <w:rsid w:val="00826172"/>
    <w:rsid w:val="00832D75"/>
    <w:rsid w:val="008361F3"/>
    <w:rsid w:val="00867E5F"/>
    <w:rsid w:val="00876AD2"/>
    <w:rsid w:val="00876C35"/>
    <w:rsid w:val="00882B9D"/>
    <w:rsid w:val="008852B4"/>
    <w:rsid w:val="008921E7"/>
    <w:rsid w:val="0089507C"/>
    <w:rsid w:val="008B59EC"/>
    <w:rsid w:val="008D21E5"/>
    <w:rsid w:val="008D44F1"/>
    <w:rsid w:val="008D6DB7"/>
    <w:rsid w:val="008E2CA6"/>
    <w:rsid w:val="008E3617"/>
    <w:rsid w:val="00904CAD"/>
    <w:rsid w:val="00906576"/>
    <w:rsid w:val="00917B07"/>
    <w:rsid w:val="00921798"/>
    <w:rsid w:val="00925873"/>
    <w:rsid w:val="00927C64"/>
    <w:rsid w:val="00944041"/>
    <w:rsid w:val="00954221"/>
    <w:rsid w:val="00956924"/>
    <w:rsid w:val="00956D46"/>
    <w:rsid w:val="00964DDC"/>
    <w:rsid w:val="009667B1"/>
    <w:rsid w:val="0097185C"/>
    <w:rsid w:val="009811C7"/>
    <w:rsid w:val="009A1CFB"/>
    <w:rsid w:val="009B2443"/>
    <w:rsid w:val="009B3D54"/>
    <w:rsid w:val="009C0030"/>
    <w:rsid w:val="009D1644"/>
    <w:rsid w:val="009D58EF"/>
    <w:rsid w:val="009E004C"/>
    <w:rsid w:val="009E6892"/>
    <w:rsid w:val="009E7B71"/>
    <w:rsid w:val="009F7CA5"/>
    <w:rsid w:val="00A060C2"/>
    <w:rsid w:val="00A0631E"/>
    <w:rsid w:val="00A06D24"/>
    <w:rsid w:val="00A158FA"/>
    <w:rsid w:val="00A31629"/>
    <w:rsid w:val="00A41920"/>
    <w:rsid w:val="00A550E4"/>
    <w:rsid w:val="00A56E52"/>
    <w:rsid w:val="00A84486"/>
    <w:rsid w:val="00AA04EA"/>
    <w:rsid w:val="00AA1565"/>
    <w:rsid w:val="00AA647F"/>
    <w:rsid w:val="00AB53F0"/>
    <w:rsid w:val="00AB787F"/>
    <w:rsid w:val="00AC2B69"/>
    <w:rsid w:val="00AC53A0"/>
    <w:rsid w:val="00AE1334"/>
    <w:rsid w:val="00AE7B6E"/>
    <w:rsid w:val="00B1730F"/>
    <w:rsid w:val="00B1748F"/>
    <w:rsid w:val="00B27D8B"/>
    <w:rsid w:val="00B339DA"/>
    <w:rsid w:val="00B367FB"/>
    <w:rsid w:val="00B563D4"/>
    <w:rsid w:val="00B625F2"/>
    <w:rsid w:val="00B72C60"/>
    <w:rsid w:val="00B75C32"/>
    <w:rsid w:val="00B81A74"/>
    <w:rsid w:val="00B9003D"/>
    <w:rsid w:val="00B9573E"/>
    <w:rsid w:val="00BA0555"/>
    <w:rsid w:val="00BA517A"/>
    <w:rsid w:val="00BA5DE1"/>
    <w:rsid w:val="00BB2A26"/>
    <w:rsid w:val="00BB7A77"/>
    <w:rsid w:val="00BB7AE2"/>
    <w:rsid w:val="00BB7DD2"/>
    <w:rsid w:val="00BC068E"/>
    <w:rsid w:val="00BC5361"/>
    <w:rsid w:val="00BD0639"/>
    <w:rsid w:val="00BD5105"/>
    <w:rsid w:val="00BE19F0"/>
    <w:rsid w:val="00BF00A8"/>
    <w:rsid w:val="00BF0FD6"/>
    <w:rsid w:val="00BF3277"/>
    <w:rsid w:val="00C03004"/>
    <w:rsid w:val="00C03A56"/>
    <w:rsid w:val="00C14A47"/>
    <w:rsid w:val="00C17C8E"/>
    <w:rsid w:val="00C20345"/>
    <w:rsid w:val="00C30715"/>
    <w:rsid w:val="00C735F7"/>
    <w:rsid w:val="00C755C8"/>
    <w:rsid w:val="00C76CCB"/>
    <w:rsid w:val="00C85D2F"/>
    <w:rsid w:val="00C9183E"/>
    <w:rsid w:val="00C96051"/>
    <w:rsid w:val="00CA1EA1"/>
    <w:rsid w:val="00CA4B5C"/>
    <w:rsid w:val="00CB17FE"/>
    <w:rsid w:val="00CB3425"/>
    <w:rsid w:val="00CB4492"/>
    <w:rsid w:val="00CD5536"/>
    <w:rsid w:val="00CD7F1A"/>
    <w:rsid w:val="00CF6032"/>
    <w:rsid w:val="00D0108B"/>
    <w:rsid w:val="00D13248"/>
    <w:rsid w:val="00D52C64"/>
    <w:rsid w:val="00D56F1C"/>
    <w:rsid w:val="00D612A9"/>
    <w:rsid w:val="00D66123"/>
    <w:rsid w:val="00D8386C"/>
    <w:rsid w:val="00D92C29"/>
    <w:rsid w:val="00DA27A5"/>
    <w:rsid w:val="00DB17B8"/>
    <w:rsid w:val="00DB6600"/>
    <w:rsid w:val="00DB7A4C"/>
    <w:rsid w:val="00DE0288"/>
    <w:rsid w:val="00DE1C7D"/>
    <w:rsid w:val="00DF60BA"/>
    <w:rsid w:val="00E346B6"/>
    <w:rsid w:val="00E46C00"/>
    <w:rsid w:val="00E553B9"/>
    <w:rsid w:val="00E63D8E"/>
    <w:rsid w:val="00E6753E"/>
    <w:rsid w:val="00E75FD2"/>
    <w:rsid w:val="00E81975"/>
    <w:rsid w:val="00E81DD3"/>
    <w:rsid w:val="00E91056"/>
    <w:rsid w:val="00E91AE3"/>
    <w:rsid w:val="00E947E9"/>
    <w:rsid w:val="00EA43FF"/>
    <w:rsid w:val="00EB326F"/>
    <w:rsid w:val="00EC2B3B"/>
    <w:rsid w:val="00EC52AC"/>
    <w:rsid w:val="00EE0395"/>
    <w:rsid w:val="00EF7FEC"/>
    <w:rsid w:val="00F06FB6"/>
    <w:rsid w:val="00F41125"/>
    <w:rsid w:val="00F416FF"/>
    <w:rsid w:val="00F517B3"/>
    <w:rsid w:val="00F615C1"/>
    <w:rsid w:val="00F62D2C"/>
    <w:rsid w:val="00F721DB"/>
    <w:rsid w:val="00F737C4"/>
    <w:rsid w:val="00FA1181"/>
    <w:rsid w:val="00FA6771"/>
    <w:rsid w:val="00FB4E33"/>
    <w:rsid w:val="00FC1A95"/>
    <w:rsid w:val="00FC4409"/>
    <w:rsid w:val="00FD7043"/>
    <w:rsid w:val="00FF19B7"/>
    <w:rsid w:val="00FF5769"/>
    <w:rsid w:val="04D97A40"/>
    <w:rsid w:val="07897470"/>
    <w:rsid w:val="084371BF"/>
    <w:rsid w:val="084A4212"/>
    <w:rsid w:val="08AB4C8F"/>
    <w:rsid w:val="11B12A92"/>
    <w:rsid w:val="14D6325F"/>
    <w:rsid w:val="19AE0EBD"/>
    <w:rsid w:val="1D50261A"/>
    <w:rsid w:val="209B42BF"/>
    <w:rsid w:val="20E27A1C"/>
    <w:rsid w:val="237F714F"/>
    <w:rsid w:val="263C55F6"/>
    <w:rsid w:val="29CF195A"/>
    <w:rsid w:val="2BE372B2"/>
    <w:rsid w:val="2C7013D8"/>
    <w:rsid w:val="2E9061B8"/>
    <w:rsid w:val="3345715D"/>
    <w:rsid w:val="34183541"/>
    <w:rsid w:val="36B93273"/>
    <w:rsid w:val="38924365"/>
    <w:rsid w:val="3ABF4DF2"/>
    <w:rsid w:val="3C73455C"/>
    <w:rsid w:val="3C9011E0"/>
    <w:rsid w:val="3E0F4009"/>
    <w:rsid w:val="401F0CAA"/>
    <w:rsid w:val="4037181B"/>
    <w:rsid w:val="41673776"/>
    <w:rsid w:val="467965F6"/>
    <w:rsid w:val="48C6747B"/>
    <w:rsid w:val="4BB7293D"/>
    <w:rsid w:val="4C5736D6"/>
    <w:rsid w:val="4C9626E5"/>
    <w:rsid w:val="523525FF"/>
    <w:rsid w:val="527D2B67"/>
    <w:rsid w:val="54F711A7"/>
    <w:rsid w:val="5A9E4365"/>
    <w:rsid w:val="5BD705B9"/>
    <w:rsid w:val="5F781AA3"/>
    <w:rsid w:val="613F6047"/>
    <w:rsid w:val="62191D78"/>
    <w:rsid w:val="63754FEA"/>
    <w:rsid w:val="656AC121"/>
    <w:rsid w:val="67FF5F7E"/>
    <w:rsid w:val="687F7718"/>
    <w:rsid w:val="6A23060A"/>
    <w:rsid w:val="6B887B03"/>
    <w:rsid w:val="6E1B6828"/>
    <w:rsid w:val="6FF7F5B5"/>
    <w:rsid w:val="7020590B"/>
    <w:rsid w:val="712D39C8"/>
    <w:rsid w:val="784A2790"/>
    <w:rsid w:val="785C6B49"/>
    <w:rsid w:val="79BC7AC0"/>
    <w:rsid w:val="7A054A74"/>
    <w:rsid w:val="7B867DEC"/>
    <w:rsid w:val="7C041C0F"/>
    <w:rsid w:val="7C31488F"/>
    <w:rsid w:val="7FDA2E36"/>
    <w:rsid w:val="7FF7942E"/>
    <w:rsid w:val="7FFFC220"/>
    <w:rsid w:val="ABD47389"/>
    <w:rsid w:val="FCF84632"/>
    <w:rsid w:val="FFFCBF69"/>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qFormat="1"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160" w:line="252" w:lineRule="auto"/>
      <w:jc w:val="both"/>
    </w:pPr>
    <w:rPr>
      <w:rFonts w:asciiTheme="minorHAnsi" w:hAnsiTheme="minorHAnsi" w:eastAsiaTheme="minorEastAsia" w:cstheme="minorBidi"/>
      <w:sz w:val="22"/>
      <w:szCs w:val="22"/>
      <w:lang w:val="en-US" w:eastAsia="zh-CN" w:bidi="ar-SA"/>
    </w:rPr>
  </w:style>
  <w:style w:type="paragraph" w:styleId="4">
    <w:name w:val="heading 1"/>
    <w:basedOn w:val="1"/>
    <w:next w:val="1"/>
    <w:link w:val="44"/>
    <w:qFormat/>
    <w:uiPriority w:val="9"/>
    <w:pPr>
      <w:keepNext/>
      <w:keepLines/>
      <w:spacing w:before="320" w:after="40"/>
      <w:outlineLvl w:val="0"/>
    </w:pPr>
    <w:rPr>
      <w:rFonts w:asciiTheme="majorHAnsi" w:hAnsiTheme="majorHAnsi" w:eastAsiaTheme="majorEastAsia" w:cstheme="majorBidi"/>
      <w:b/>
      <w:bCs/>
      <w:caps/>
      <w:spacing w:val="4"/>
      <w:sz w:val="28"/>
      <w:szCs w:val="28"/>
    </w:rPr>
  </w:style>
  <w:style w:type="paragraph" w:styleId="5">
    <w:name w:val="heading 2"/>
    <w:basedOn w:val="1"/>
    <w:next w:val="1"/>
    <w:link w:val="68"/>
    <w:unhideWhenUsed/>
    <w:qFormat/>
    <w:uiPriority w:val="9"/>
    <w:pPr>
      <w:keepNext/>
      <w:keepLines/>
      <w:spacing w:before="120" w:after="0"/>
      <w:outlineLvl w:val="1"/>
    </w:pPr>
    <w:rPr>
      <w:rFonts w:asciiTheme="majorHAnsi" w:hAnsiTheme="majorHAnsi" w:eastAsiaTheme="majorEastAsia" w:cstheme="majorBidi"/>
      <w:b/>
      <w:bCs/>
      <w:sz w:val="28"/>
      <w:szCs w:val="28"/>
    </w:rPr>
  </w:style>
  <w:style w:type="paragraph" w:styleId="6">
    <w:name w:val="heading 3"/>
    <w:basedOn w:val="1"/>
    <w:next w:val="1"/>
    <w:link w:val="69"/>
    <w:unhideWhenUsed/>
    <w:qFormat/>
    <w:uiPriority w:val="9"/>
    <w:pPr>
      <w:keepNext/>
      <w:keepLines/>
      <w:spacing w:before="120" w:after="0"/>
      <w:outlineLvl w:val="2"/>
    </w:pPr>
    <w:rPr>
      <w:rFonts w:asciiTheme="majorHAnsi" w:hAnsiTheme="majorHAnsi" w:eastAsiaTheme="majorEastAsia" w:cstheme="majorBidi"/>
      <w:spacing w:val="4"/>
      <w:sz w:val="24"/>
      <w:szCs w:val="24"/>
    </w:rPr>
  </w:style>
  <w:style w:type="paragraph" w:styleId="7">
    <w:name w:val="heading 4"/>
    <w:basedOn w:val="1"/>
    <w:next w:val="1"/>
    <w:link w:val="70"/>
    <w:unhideWhenUsed/>
    <w:qFormat/>
    <w:uiPriority w:val="9"/>
    <w:pPr>
      <w:keepNext/>
      <w:keepLines/>
      <w:spacing w:before="120" w:after="0"/>
      <w:outlineLvl w:val="3"/>
    </w:pPr>
    <w:rPr>
      <w:rFonts w:asciiTheme="majorHAnsi" w:hAnsiTheme="majorHAnsi" w:eastAsiaTheme="majorEastAsia" w:cstheme="majorBidi"/>
      <w:i/>
      <w:iCs/>
      <w:sz w:val="24"/>
      <w:szCs w:val="24"/>
    </w:rPr>
  </w:style>
  <w:style w:type="paragraph" w:styleId="8">
    <w:name w:val="heading 5"/>
    <w:basedOn w:val="1"/>
    <w:next w:val="1"/>
    <w:link w:val="71"/>
    <w:unhideWhenUsed/>
    <w:qFormat/>
    <w:uiPriority w:val="9"/>
    <w:pPr>
      <w:keepNext/>
      <w:keepLines/>
      <w:spacing w:before="120" w:after="0"/>
      <w:outlineLvl w:val="4"/>
    </w:pPr>
    <w:rPr>
      <w:rFonts w:asciiTheme="majorHAnsi" w:hAnsiTheme="majorHAnsi" w:eastAsiaTheme="majorEastAsia" w:cstheme="majorBidi"/>
      <w:b/>
      <w:bCs/>
    </w:rPr>
  </w:style>
  <w:style w:type="paragraph" w:styleId="9">
    <w:name w:val="heading 6"/>
    <w:basedOn w:val="1"/>
    <w:next w:val="1"/>
    <w:link w:val="72"/>
    <w:unhideWhenUsed/>
    <w:qFormat/>
    <w:uiPriority w:val="9"/>
    <w:pPr>
      <w:keepNext/>
      <w:keepLines/>
      <w:spacing w:before="120" w:after="0"/>
      <w:outlineLvl w:val="5"/>
    </w:pPr>
    <w:rPr>
      <w:rFonts w:asciiTheme="majorHAnsi" w:hAnsiTheme="majorHAnsi" w:eastAsiaTheme="majorEastAsia" w:cstheme="majorBidi"/>
      <w:b/>
      <w:bCs/>
      <w:i/>
      <w:iCs/>
    </w:rPr>
  </w:style>
  <w:style w:type="paragraph" w:styleId="10">
    <w:name w:val="heading 7"/>
    <w:basedOn w:val="1"/>
    <w:next w:val="1"/>
    <w:link w:val="73"/>
    <w:unhideWhenUsed/>
    <w:qFormat/>
    <w:uiPriority w:val="9"/>
    <w:pPr>
      <w:keepNext/>
      <w:keepLines/>
      <w:spacing w:before="120" w:after="0"/>
      <w:outlineLvl w:val="6"/>
    </w:pPr>
    <w:rPr>
      <w:i/>
      <w:iCs/>
    </w:rPr>
  </w:style>
  <w:style w:type="paragraph" w:styleId="11">
    <w:name w:val="heading 8"/>
    <w:basedOn w:val="1"/>
    <w:next w:val="1"/>
    <w:link w:val="74"/>
    <w:unhideWhenUsed/>
    <w:qFormat/>
    <w:uiPriority w:val="9"/>
    <w:pPr>
      <w:keepNext/>
      <w:keepLines/>
      <w:spacing w:before="120" w:after="0"/>
      <w:outlineLvl w:val="7"/>
    </w:pPr>
    <w:rPr>
      <w:b/>
      <w:bCs/>
    </w:rPr>
  </w:style>
  <w:style w:type="paragraph" w:styleId="12">
    <w:name w:val="heading 9"/>
    <w:basedOn w:val="1"/>
    <w:next w:val="1"/>
    <w:link w:val="75"/>
    <w:unhideWhenUsed/>
    <w:qFormat/>
    <w:uiPriority w:val="9"/>
    <w:pPr>
      <w:keepNext/>
      <w:keepLines/>
      <w:spacing w:before="120" w:after="0"/>
      <w:outlineLvl w:val="8"/>
    </w:pPr>
    <w:rPr>
      <w:i/>
      <w:iCs/>
    </w:rPr>
  </w:style>
  <w:style w:type="character" w:default="1" w:styleId="29">
    <w:name w:val="Default Paragraph Font"/>
    <w:unhideWhenUsed/>
    <w:qFormat/>
    <w:uiPriority w:val="1"/>
  </w:style>
  <w:style w:type="table" w:default="1" w:styleId="26">
    <w:name w:val="Normal Table"/>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rPr>
      <w:rFonts w:ascii="Bookman Old Style" w:hAnsi="Bookman Old Style" w:eastAsia="宋体" w:cs="Times New Roman"/>
      <w:sz w:val="21"/>
    </w:rPr>
  </w:style>
  <w:style w:type="paragraph" w:styleId="3">
    <w:name w:val="Body Text Indent"/>
    <w:basedOn w:val="1"/>
    <w:link w:val="51"/>
    <w:qFormat/>
    <w:uiPriority w:val="0"/>
    <w:pPr>
      <w:spacing w:after="120"/>
      <w:ind w:left="420" w:leftChars="200"/>
    </w:pPr>
    <w:rPr>
      <w:rFonts w:ascii="Times New Roman" w:hAnsi="Times New Roman" w:eastAsia="宋体" w:cs="Times New Roman"/>
      <w:szCs w:val="24"/>
    </w:rPr>
  </w:style>
  <w:style w:type="paragraph" w:styleId="13">
    <w:name w:val="caption"/>
    <w:basedOn w:val="1"/>
    <w:next w:val="1"/>
    <w:unhideWhenUsed/>
    <w:qFormat/>
    <w:uiPriority w:val="35"/>
    <w:rPr>
      <w:b/>
      <w:bCs/>
      <w:sz w:val="18"/>
      <w:szCs w:val="18"/>
    </w:rPr>
  </w:style>
  <w:style w:type="paragraph" w:styleId="14">
    <w:name w:val="annotation text"/>
    <w:basedOn w:val="1"/>
    <w:link w:val="41"/>
    <w:qFormat/>
    <w:uiPriority w:val="0"/>
    <w:pPr>
      <w:jc w:val="left"/>
    </w:pPr>
  </w:style>
  <w:style w:type="paragraph" w:styleId="15">
    <w:name w:val="Body Text"/>
    <w:basedOn w:val="1"/>
    <w:qFormat/>
    <w:uiPriority w:val="0"/>
    <w:pPr>
      <w:spacing w:after="120"/>
    </w:pPr>
    <w:rPr>
      <w:rFonts w:ascii="等线" w:hAnsi="等线" w:eastAsia="等线"/>
      <w:kern w:val="0"/>
      <w:sz w:val="20"/>
      <w:szCs w:val="21"/>
    </w:rPr>
  </w:style>
  <w:style w:type="paragraph" w:styleId="16">
    <w:name w:val="Body Text Indent 2"/>
    <w:basedOn w:val="1"/>
    <w:link w:val="55"/>
    <w:qFormat/>
    <w:uiPriority w:val="0"/>
    <w:pPr>
      <w:ind w:left="1" w:firstLine="538" w:firstLineChars="192"/>
    </w:pPr>
    <w:rPr>
      <w:rFonts w:ascii="Times New Roman" w:hAnsi="Times New Roman" w:eastAsia="宋体" w:cs="Times New Roman"/>
      <w:sz w:val="28"/>
      <w:szCs w:val="24"/>
    </w:rPr>
  </w:style>
  <w:style w:type="paragraph" w:styleId="17">
    <w:name w:val="Balloon Text"/>
    <w:basedOn w:val="1"/>
    <w:link w:val="43"/>
    <w:qFormat/>
    <w:uiPriority w:val="0"/>
    <w:rPr>
      <w:sz w:val="18"/>
      <w:szCs w:val="18"/>
    </w:rPr>
  </w:style>
  <w:style w:type="paragraph" w:styleId="18">
    <w:name w:val="footer"/>
    <w:basedOn w:val="1"/>
    <w:link w:val="35"/>
    <w:qFormat/>
    <w:uiPriority w:val="0"/>
    <w:pPr>
      <w:tabs>
        <w:tab w:val="center" w:pos="4153"/>
        <w:tab w:val="right" w:pos="8306"/>
      </w:tabs>
      <w:snapToGrid w:val="0"/>
      <w:jc w:val="left"/>
    </w:pPr>
    <w:rPr>
      <w:sz w:val="18"/>
      <w:szCs w:val="18"/>
    </w:rPr>
  </w:style>
  <w:style w:type="paragraph" w:styleId="19">
    <w:name w:val="header"/>
    <w:basedOn w:val="1"/>
    <w:link w:val="34"/>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0"/>
  </w:style>
  <w:style w:type="paragraph" w:styleId="21">
    <w:name w:val="Subtitle"/>
    <w:basedOn w:val="1"/>
    <w:next w:val="1"/>
    <w:link w:val="77"/>
    <w:qFormat/>
    <w:uiPriority w:val="11"/>
    <w:pPr>
      <w:spacing w:after="240"/>
      <w:jc w:val="center"/>
    </w:pPr>
    <w:rPr>
      <w:rFonts w:asciiTheme="majorHAnsi" w:hAnsiTheme="majorHAnsi" w:eastAsiaTheme="majorEastAsia" w:cstheme="majorBidi"/>
      <w:sz w:val="24"/>
      <w:szCs w:val="24"/>
    </w:rPr>
  </w:style>
  <w:style w:type="paragraph" w:styleId="22">
    <w:name w:val="toc 2"/>
    <w:basedOn w:val="1"/>
    <w:next w:val="1"/>
    <w:qFormat/>
    <w:uiPriority w:val="0"/>
    <w:pPr>
      <w:ind w:left="420" w:leftChars="200"/>
    </w:pPr>
  </w:style>
  <w:style w:type="paragraph" w:styleId="23">
    <w:name w:val="Normal (Web)"/>
    <w:basedOn w:val="1"/>
    <w:qFormat/>
    <w:uiPriority w:val="0"/>
    <w:pPr>
      <w:spacing w:before="100" w:beforeAutospacing="1" w:after="100" w:afterAutospacing="1"/>
      <w:jc w:val="left"/>
    </w:pPr>
    <w:rPr>
      <w:rFonts w:ascii="宋体" w:hAnsi="宋体" w:cs="宋体"/>
      <w:sz w:val="24"/>
    </w:rPr>
  </w:style>
  <w:style w:type="paragraph" w:styleId="24">
    <w:name w:val="Title"/>
    <w:basedOn w:val="1"/>
    <w:next w:val="1"/>
    <w:link w:val="76"/>
    <w:qFormat/>
    <w:uiPriority w:val="10"/>
    <w:pPr>
      <w:spacing w:after="0" w:line="240" w:lineRule="auto"/>
      <w:contextualSpacing/>
      <w:jc w:val="center"/>
    </w:pPr>
    <w:rPr>
      <w:rFonts w:asciiTheme="majorHAnsi" w:hAnsiTheme="majorHAnsi" w:eastAsiaTheme="majorEastAsia" w:cstheme="majorBidi"/>
      <w:b/>
      <w:bCs/>
      <w:spacing w:val="-7"/>
      <w:sz w:val="48"/>
      <w:szCs w:val="48"/>
    </w:rPr>
  </w:style>
  <w:style w:type="paragraph" w:styleId="25">
    <w:name w:val="annotation subject"/>
    <w:basedOn w:val="14"/>
    <w:next w:val="14"/>
    <w:link w:val="42"/>
    <w:qFormat/>
    <w:uiPriority w:val="0"/>
    <w:rPr>
      <w:b/>
      <w:bCs/>
    </w:rPr>
  </w:style>
  <w:style w:type="table" w:styleId="27">
    <w:name w:val="Table Grid"/>
    <w:basedOn w:val="26"/>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28">
    <w:name w:val="Medium Shading 2 Accent 1"/>
    <w:basedOn w:val="26"/>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FCA08"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FCA08"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FCA08"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character" w:styleId="30">
    <w:name w:val="Strong"/>
    <w:basedOn w:val="29"/>
    <w:qFormat/>
    <w:uiPriority w:val="22"/>
    <w:rPr>
      <w:b/>
      <w:bCs/>
      <w:color w:val="auto"/>
    </w:rPr>
  </w:style>
  <w:style w:type="character" w:styleId="31">
    <w:name w:val="Emphasis"/>
    <w:basedOn w:val="29"/>
    <w:qFormat/>
    <w:uiPriority w:val="20"/>
    <w:rPr>
      <w:i/>
      <w:iCs/>
      <w:color w:val="auto"/>
    </w:rPr>
  </w:style>
  <w:style w:type="character" w:styleId="32">
    <w:name w:val="Hyperlink"/>
    <w:basedOn w:val="29"/>
    <w:qFormat/>
    <w:uiPriority w:val="0"/>
    <w:rPr>
      <w:color w:val="2998E3" w:themeColor="hyperlink"/>
      <w:u w:val="single"/>
      <w14:textFill>
        <w14:solidFill>
          <w14:schemeClr w14:val="hlink"/>
        </w14:solidFill>
      </w14:textFill>
    </w:rPr>
  </w:style>
  <w:style w:type="character" w:styleId="33">
    <w:name w:val="annotation reference"/>
    <w:basedOn w:val="29"/>
    <w:qFormat/>
    <w:uiPriority w:val="0"/>
    <w:rPr>
      <w:sz w:val="21"/>
      <w:szCs w:val="21"/>
    </w:rPr>
  </w:style>
  <w:style w:type="character" w:customStyle="1" w:styleId="34">
    <w:name w:val="页眉 字符"/>
    <w:basedOn w:val="29"/>
    <w:link w:val="19"/>
    <w:qFormat/>
    <w:uiPriority w:val="99"/>
    <w:rPr>
      <w:sz w:val="18"/>
      <w:szCs w:val="18"/>
    </w:rPr>
  </w:style>
  <w:style w:type="character" w:customStyle="1" w:styleId="35">
    <w:name w:val="页脚 字符"/>
    <w:basedOn w:val="29"/>
    <w:link w:val="18"/>
    <w:qFormat/>
    <w:uiPriority w:val="99"/>
    <w:rPr>
      <w:sz w:val="18"/>
      <w:szCs w:val="18"/>
    </w:rPr>
  </w:style>
  <w:style w:type="paragraph" w:customStyle="1" w:styleId="36">
    <w:name w:val="aSTL正文"/>
    <w:basedOn w:val="1"/>
    <w:link w:val="37"/>
    <w:qFormat/>
    <w:uiPriority w:val="0"/>
    <w:pPr>
      <w:spacing w:line="300" w:lineRule="auto"/>
      <w:ind w:firstLine="200" w:firstLineChars="200"/>
    </w:pPr>
    <w:rPr>
      <w:rFonts w:ascii="Calibri" w:hAnsi="Calibri" w:eastAsia="宋体" w:cs="Times New Roman"/>
      <w:sz w:val="24"/>
      <w:szCs w:val="20"/>
    </w:rPr>
  </w:style>
  <w:style w:type="character" w:customStyle="1" w:styleId="37">
    <w:name w:val="aSTL正文 Char"/>
    <w:link w:val="36"/>
    <w:qFormat/>
    <w:uiPriority w:val="0"/>
    <w:rPr>
      <w:rFonts w:ascii="Calibri" w:hAnsi="Calibri" w:eastAsia="宋体" w:cs="Times New Roman"/>
      <w:kern w:val="0"/>
      <w:sz w:val="24"/>
      <w:szCs w:val="20"/>
    </w:rPr>
  </w:style>
  <w:style w:type="paragraph" w:customStyle="1" w:styleId="38">
    <w:name w:val="4.1.1.1.1"/>
    <w:basedOn w:val="1"/>
    <w:link w:val="39"/>
    <w:qFormat/>
    <w:uiPriority w:val="0"/>
    <w:pPr>
      <w:tabs>
        <w:tab w:val="left" w:pos="142"/>
      </w:tabs>
      <w:spacing w:beforeLines="50" w:afterLines="50"/>
      <w:ind w:left="200" w:leftChars="200"/>
      <w:jc w:val="left"/>
      <w:outlineLvl w:val="3"/>
    </w:pPr>
    <w:rPr>
      <w:rFonts w:ascii="宋体" w:hAnsi="宋体" w:eastAsia="宋体" w:cs="Times New Roman"/>
      <w:b/>
      <w:color w:val="000000"/>
      <w:sz w:val="24"/>
      <w:szCs w:val="24"/>
    </w:rPr>
  </w:style>
  <w:style w:type="character" w:customStyle="1" w:styleId="39">
    <w:name w:val="4.1.1.1.1 Char"/>
    <w:link w:val="38"/>
    <w:qFormat/>
    <w:uiPriority w:val="0"/>
    <w:rPr>
      <w:rFonts w:ascii="宋体" w:hAnsi="宋体" w:eastAsia="宋体" w:cs="Times New Roman"/>
      <w:b/>
      <w:color w:val="000000"/>
      <w:kern w:val="0"/>
      <w:sz w:val="24"/>
      <w:szCs w:val="24"/>
    </w:rPr>
  </w:style>
  <w:style w:type="paragraph" w:customStyle="1" w:styleId="40">
    <w:name w:val="列出段落1"/>
    <w:basedOn w:val="1"/>
    <w:qFormat/>
    <w:uiPriority w:val="99"/>
    <w:pPr>
      <w:ind w:firstLine="420" w:firstLineChars="200"/>
    </w:pPr>
    <w:rPr>
      <w:rFonts w:ascii="Calibri" w:hAnsi="Calibri" w:eastAsia="宋体" w:cs="Times New Roman"/>
    </w:rPr>
  </w:style>
  <w:style w:type="character" w:customStyle="1" w:styleId="41">
    <w:name w:val="批注文字 字符"/>
    <w:basedOn w:val="29"/>
    <w:link w:val="14"/>
    <w:semiHidden/>
    <w:qFormat/>
    <w:uiPriority w:val="99"/>
  </w:style>
  <w:style w:type="character" w:customStyle="1" w:styleId="42">
    <w:name w:val="批注主题 字符"/>
    <w:basedOn w:val="41"/>
    <w:link w:val="25"/>
    <w:semiHidden/>
    <w:qFormat/>
    <w:uiPriority w:val="99"/>
    <w:rPr>
      <w:b/>
      <w:bCs/>
    </w:rPr>
  </w:style>
  <w:style w:type="character" w:customStyle="1" w:styleId="43">
    <w:name w:val="批注框文本 字符"/>
    <w:basedOn w:val="29"/>
    <w:link w:val="17"/>
    <w:semiHidden/>
    <w:qFormat/>
    <w:uiPriority w:val="99"/>
    <w:rPr>
      <w:sz w:val="18"/>
      <w:szCs w:val="18"/>
    </w:rPr>
  </w:style>
  <w:style w:type="character" w:customStyle="1" w:styleId="44">
    <w:name w:val="标题 1 字符"/>
    <w:basedOn w:val="29"/>
    <w:link w:val="4"/>
    <w:qFormat/>
    <w:uiPriority w:val="9"/>
    <w:rPr>
      <w:rFonts w:asciiTheme="majorHAnsi" w:hAnsiTheme="majorHAnsi" w:eastAsiaTheme="majorEastAsia" w:cstheme="majorBidi"/>
      <w:b/>
      <w:bCs/>
      <w:caps/>
      <w:spacing w:val="4"/>
      <w:sz w:val="28"/>
      <w:szCs w:val="28"/>
    </w:rPr>
  </w:style>
  <w:style w:type="paragraph" w:customStyle="1" w:styleId="45">
    <w:name w:val="TOC 标题1"/>
    <w:basedOn w:val="4"/>
    <w:next w:val="1"/>
    <w:unhideWhenUsed/>
    <w:qFormat/>
    <w:uiPriority w:val="39"/>
    <w:pPr>
      <w:spacing w:before="240" w:after="0" w:line="259" w:lineRule="auto"/>
      <w:jc w:val="left"/>
      <w:outlineLvl w:val="9"/>
    </w:pPr>
    <w:rPr>
      <w:b w:val="0"/>
      <w:bCs w:val="0"/>
      <w:color w:val="C59B00" w:themeColor="accent1" w:themeShade="BF"/>
      <w:sz w:val="32"/>
      <w:szCs w:val="32"/>
    </w:rPr>
  </w:style>
  <w:style w:type="paragraph" w:customStyle="1" w:styleId="46">
    <w:name w:val="0"/>
    <w:basedOn w:val="1"/>
    <w:qFormat/>
    <w:uiPriority w:val="0"/>
    <w:pPr>
      <w:snapToGrid w:val="0"/>
    </w:pPr>
    <w:rPr>
      <w:rFonts w:ascii="Times New Roman" w:hAnsi="Times New Roman" w:eastAsia="仿宋_GB2312" w:cs="Times New Roman"/>
      <w:sz w:val="32"/>
      <w:szCs w:val="21"/>
    </w:rPr>
  </w:style>
  <w:style w:type="paragraph" w:customStyle="1" w:styleId="47">
    <w:name w:val="YL表头"/>
    <w:basedOn w:val="13"/>
    <w:link w:val="49"/>
    <w:qFormat/>
    <w:uiPriority w:val="0"/>
    <w:pPr>
      <w:spacing w:beforeLines="30" w:afterLines="20"/>
      <w:jc w:val="center"/>
    </w:pPr>
    <w:rPr>
      <w:rFonts w:ascii="Cambria" w:hAnsi="Cambria" w:eastAsia="宋体" w:cs="Times New Roman"/>
      <w:b w:val="0"/>
      <w:sz w:val="21"/>
    </w:rPr>
  </w:style>
  <w:style w:type="paragraph" w:customStyle="1" w:styleId="48">
    <w:name w:val="YL图内容"/>
    <w:basedOn w:val="1"/>
    <w:link w:val="50"/>
    <w:qFormat/>
    <w:uiPriority w:val="0"/>
    <w:pPr>
      <w:spacing w:line="264" w:lineRule="auto"/>
      <w:jc w:val="center"/>
    </w:pPr>
    <w:rPr>
      <w:rFonts w:ascii="仿宋" w:hAnsi="仿宋" w:eastAsia="宋体" w:cs="Times New Roman"/>
      <w:color w:val="000000"/>
      <w:szCs w:val="24"/>
    </w:rPr>
  </w:style>
  <w:style w:type="character" w:customStyle="1" w:styleId="49">
    <w:name w:val="YL表头 Char"/>
    <w:basedOn w:val="29"/>
    <w:link w:val="47"/>
    <w:qFormat/>
    <w:uiPriority w:val="0"/>
    <w:rPr>
      <w:rFonts w:ascii="Cambria" w:hAnsi="Cambria" w:eastAsia="宋体" w:cs="Times New Roman"/>
      <w:b/>
      <w:szCs w:val="20"/>
    </w:rPr>
  </w:style>
  <w:style w:type="character" w:customStyle="1" w:styleId="50">
    <w:name w:val="YL图内容 Char"/>
    <w:basedOn w:val="29"/>
    <w:link w:val="48"/>
    <w:qFormat/>
    <w:uiPriority w:val="0"/>
    <w:rPr>
      <w:rFonts w:ascii="仿宋" w:hAnsi="仿宋" w:eastAsia="宋体" w:cs="Times New Roman"/>
      <w:color w:val="000000"/>
      <w:szCs w:val="24"/>
    </w:rPr>
  </w:style>
  <w:style w:type="character" w:customStyle="1" w:styleId="51">
    <w:name w:val="正文文本缩进 字符"/>
    <w:basedOn w:val="29"/>
    <w:link w:val="3"/>
    <w:qFormat/>
    <w:uiPriority w:val="0"/>
    <w:rPr>
      <w:rFonts w:ascii="Times New Roman" w:hAnsi="Times New Roman" w:eastAsia="宋体" w:cs="Times New Roman"/>
      <w:szCs w:val="24"/>
    </w:rPr>
  </w:style>
  <w:style w:type="character" w:customStyle="1" w:styleId="52">
    <w:name w:val="apple-style-span"/>
    <w:basedOn w:val="29"/>
    <w:qFormat/>
    <w:uiPriority w:val="0"/>
  </w:style>
  <w:style w:type="paragraph" w:customStyle="1" w:styleId="53">
    <w:name w:val="YL正文"/>
    <w:basedOn w:val="1"/>
    <w:link w:val="54"/>
    <w:qFormat/>
    <w:uiPriority w:val="0"/>
    <w:pPr>
      <w:spacing w:line="300" w:lineRule="auto"/>
      <w:ind w:firstLine="200" w:firstLineChars="200"/>
    </w:pPr>
    <w:rPr>
      <w:rFonts w:ascii="仿宋" w:hAnsi="仿宋" w:eastAsia="宋体" w:cs="Times New Roman"/>
      <w:color w:val="000000"/>
      <w:sz w:val="24"/>
      <w:szCs w:val="24"/>
    </w:rPr>
  </w:style>
  <w:style w:type="character" w:customStyle="1" w:styleId="54">
    <w:name w:val="YL正文 Char"/>
    <w:basedOn w:val="29"/>
    <w:link w:val="53"/>
    <w:qFormat/>
    <w:uiPriority w:val="0"/>
    <w:rPr>
      <w:rFonts w:ascii="仿宋" w:hAnsi="仿宋" w:eastAsia="宋体" w:cs="Times New Roman"/>
      <w:color w:val="000000"/>
      <w:sz w:val="24"/>
      <w:szCs w:val="24"/>
    </w:rPr>
  </w:style>
  <w:style w:type="character" w:customStyle="1" w:styleId="55">
    <w:name w:val="正文文本缩进 2 字符"/>
    <w:basedOn w:val="29"/>
    <w:link w:val="16"/>
    <w:qFormat/>
    <w:uiPriority w:val="0"/>
    <w:rPr>
      <w:rFonts w:ascii="Times New Roman" w:hAnsi="Times New Roman" w:eastAsia="宋体" w:cs="Times New Roman"/>
      <w:sz w:val="28"/>
      <w:szCs w:val="24"/>
    </w:rPr>
  </w:style>
  <w:style w:type="paragraph" w:customStyle="1" w:styleId="56">
    <w:name w:val="段"/>
    <w:link w:val="57"/>
    <w:qFormat/>
    <w:uiPriority w:val="0"/>
    <w:pPr>
      <w:tabs>
        <w:tab w:val="center" w:pos="4201"/>
        <w:tab w:val="right" w:leader="dot" w:pos="9298"/>
      </w:tabs>
      <w:autoSpaceDE w:val="0"/>
      <w:autoSpaceDN w:val="0"/>
      <w:spacing w:after="160" w:line="252" w:lineRule="auto"/>
      <w:ind w:firstLine="420" w:firstLineChars="200"/>
      <w:jc w:val="both"/>
    </w:pPr>
    <w:rPr>
      <w:rFonts w:ascii="宋体" w:hAnsi="Times New Roman" w:eastAsia="宋体" w:cs="Times New Roman"/>
      <w:kern w:val="2"/>
      <w:sz w:val="22"/>
      <w:szCs w:val="22"/>
      <w:lang w:val="en-US" w:eastAsia="zh-CN" w:bidi="ar-SA"/>
    </w:rPr>
  </w:style>
  <w:style w:type="character" w:customStyle="1" w:styleId="57">
    <w:name w:val="段 Char"/>
    <w:link w:val="56"/>
    <w:qFormat/>
    <w:locked/>
    <w:uiPriority w:val="0"/>
    <w:rPr>
      <w:rFonts w:ascii="宋体" w:hAnsi="Times New Roman" w:eastAsia="宋体" w:cs="Times New Roman"/>
      <w:sz w:val="22"/>
    </w:rPr>
  </w:style>
  <w:style w:type="character" w:customStyle="1" w:styleId="58">
    <w:name w:val="章标题 Char"/>
    <w:link w:val="59"/>
    <w:qFormat/>
    <w:locked/>
    <w:uiPriority w:val="99"/>
    <w:rPr>
      <w:rFonts w:ascii="黑体" w:eastAsia="黑体"/>
      <w:sz w:val="21"/>
    </w:rPr>
  </w:style>
  <w:style w:type="paragraph" w:customStyle="1" w:styleId="59">
    <w:name w:val="章标题"/>
    <w:next w:val="1"/>
    <w:link w:val="58"/>
    <w:qFormat/>
    <w:uiPriority w:val="99"/>
    <w:pPr>
      <w:numPr>
        <w:ilvl w:val="0"/>
        <w:numId w:val="1"/>
      </w:numPr>
      <w:spacing w:beforeLines="100" w:after="160" w:afterLines="100" w:line="252" w:lineRule="auto"/>
      <w:ind w:left="142"/>
      <w:jc w:val="both"/>
      <w:outlineLvl w:val="1"/>
    </w:pPr>
    <w:rPr>
      <w:rFonts w:ascii="黑体" w:eastAsia="黑体" w:hAnsiTheme="minorHAnsi" w:cstheme="minorBidi"/>
      <w:sz w:val="21"/>
      <w:szCs w:val="22"/>
      <w:lang w:val="en-US" w:eastAsia="zh-CN" w:bidi="ar-SA"/>
    </w:rPr>
  </w:style>
  <w:style w:type="paragraph" w:customStyle="1" w:styleId="60">
    <w:name w:val="二级条标题"/>
    <w:basedOn w:val="61"/>
    <w:next w:val="1"/>
    <w:qFormat/>
    <w:uiPriority w:val="99"/>
    <w:pPr>
      <w:numPr>
        <w:ilvl w:val="2"/>
      </w:numPr>
      <w:spacing w:before="50" w:after="50"/>
      <w:ind w:left="852"/>
      <w:outlineLvl w:val="3"/>
    </w:pPr>
  </w:style>
  <w:style w:type="paragraph" w:customStyle="1" w:styleId="61">
    <w:name w:val="一级条标题"/>
    <w:next w:val="1"/>
    <w:qFormat/>
    <w:uiPriority w:val="99"/>
    <w:pPr>
      <w:numPr>
        <w:ilvl w:val="1"/>
        <w:numId w:val="1"/>
      </w:numPr>
      <w:spacing w:beforeLines="50" w:after="160" w:afterLines="50" w:line="252" w:lineRule="auto"/>
      <w:jc w:val="both"/>
      <w:outlineLvl w:val="2"/>
    </w:pPr>
    <w:rPr>
      <w:rFonts w:ascii="黑体" w:hAnsi="Times New Roman" w:eastAsia="黑体" w:cs="Times New Roman"/>
      <w:sz w:val="21"/>
      <w:szCs w:val="21"/>
      <w:lang w:val="en-US" w:eastAsia="zh-CN" w:bidi="ar-SA"/>
    </w:rPr>
  </w:style>
  <w:style w:type="character" w:customStyle="1" w:styleId="62">
    <w:name w:val="font31"/>
    <w:basedOn w:val="29"/>
    <w:qFormat/>
    <w:uiPriority w:val="0"/>
    <w:rPr>
      <w:rFonts w:hint="default" w:ascii="Times New Roman" w:hAnsi="Times New Roman" w:cs="Times New Roman"/>
      <w:color w:val="FF0000"/>
      <w:sz w:val="21"/>
      <w:szCs w:val="21"/>
      <w:u w:val="none"/>
    </w:rPr>
  </w:style>
  <w:style w:type="paragraph" w:customStyle="1" w:styleId="63">
    <w:name w:val="TOC 标题2"/>
    <w:basedOn w:val="4"/>
    <w:next w:val="1"/>
    <w:unhideWhenUsed/>
    <w:qFormat/>
    <w:uiPriority w:val="39"/>
    <w:pPr>
      <w:spacing w:before="480" w:after="0" w:line="276" w:lineRule="auto"/>
      <w:jc w:val="left"/>
      <w:outlineLvl w:val="9"/>
    </w:pPr>
    <w:rPr>
      <w:color w:val="C59B00" w:themeColor="accent1" w:themeShade="BF"/>
    </w:rPr>
  </w:style>
  <w:style w:type="paragraph" w:customStyle="1" w:styleId="64">
    <w:name w:val="Default"/>
    <w:qFormat/>
    <w:uiPriority w:val="0"/>
    <w:pPr>
      <w:widowControl w:val="0"/>
      <w:autoSpaceDE w:val="0"/>
      <w:autoSpaceDN w:val="0"/>
      <w:adjustRightInd w:val="0"/>
      <w:spacing w:after="160" w:line="252" w:lineRule="auto"/>
      <w:jc w:val="both"/>
    </w:pPr>
    <w:rPr>
      <w:rFonts w:ascii="宋体" w:eastAsia="宋体" w:cs="宋体" w:hAnsiTheme="minorHAnsi"/>
      <w:color w:val="000000"/>
      <w:sz w:val="24"/>
      <w:szCs w:val="24"/>
      <w:lang w:val="en-US" w:eastAsia="zh-CN" w:bidi="ar-SA"/>
    </w:rPr>
  </w:style>
  <w:style w:type="paragraph" w:customStyle="1" w:styleId="65">
    <w:name w:val="XN正文"/>
    <w:basedOn w:val="1"/>
    <w:qFormat/>
    <w:uiPriority w:val="99"/>
    <w:pPr>
      <w:spacing w:line="300" w:lineRule="auto"/>
      <w:ind w:firstLine="200" w:firstLineChars="200"/>
    </w:pPr>
    <w:rPr>
      <w:rFonts w:ascii="仿宋" w:hAnsi="仿宋" w:eastAsia="仿宋"/>
      <w:color w:val="000000"/>
      <w:sz w:val="24"/>
      <w:szCs w:val="24"/>
    </w:rPr>
  </w:style>
  <w:style w:type="paragraph" w:customStyle="1" w:styleId="66">
    <w:name w:val="XN图标"/>
    <w:basedOn w:val="1"/>
    <w:qFormat/>
    <w:uiPriority w:val="0"/>
    <w:pPr>
      <w:spacing w:line="264" w:lineRule="auto"/>
      <w:jc w:val="center"/>
    </w:pPr>
    <w:rPr>
      <w:rFonts w:ascii="仿宋" w:hAnsi="仿宋" w:eastAsia="仿宋"/>
      <w:color w:val="000000"/>
    </w:rPr>
  </w:style>
  <w:style w:type="paragraph" w:customStyle="1" w:styleId="67">
    <w:name w:val="List Paragraph"/>
    <w:basedOn w:val="1"/>
    <w:qFormat/>
    <w:uiPriority w:val="34"/>
    <w:pPr>
      <w:ind w:firstLine="420" w:firstLineChars="200"/>
    </w:pPr>
  </w:style>
  <w:style w:type="character" w:customStyle="1" w:styleId="68">
    <w:name w:val="标题 2 字符"/>
    <w:basedOn w:val="29"/>
    <w:link w:val="5"/>
    <w:semiHidden/>
    <w:qFormat/>
    <w:uiPriority w:val="9"/>
    <w:rPr>
      <w:rFonts w:asciiTheme="majorHAnsi" w:hAnsiTheme="majorHAnsi" w:eastAsiaTheme="majorEastAsia" w:cstheme="majorBidi"/>
      <w:b/>
      <w:bCs/>
      <w:sz w:val="28"/>
      <w:szCs w:val="28"/>
    </w:rPr>
  </w:style>
  <w:style w:type="character" w:customStyle="1" w:styleId="69">
    <w:name w:val="标题 3 字符"/>
    <w:basedOn w:val="29"/>
    <w:link w:val="6"/>
    <w:semiHidden/>
    <w:qFormat/>
    <w:uiPriority w:val="9"/>
    <w:rPr>
      <w:rFonts w:asciiTheme="majorHAnsi" w:hAnsiTheme="majorHAnsi" w:eastAsiaTheme="majorEastAsia" w:cstheme="majorBidi"/>
      <w:spacing w:val="4"/>
      <w:sz w:val="24"/>
      <w:szCs w:val="24"/>
    </w:rPr>
  </w:style>
  <w:style w:type="character" w:customStyle="1" w:styleId="70">
    <w:name w:val="标题 4 字符"/>
    <w:basedOn w:val="29"/>
    <w:link w:val="7"/>
    <w:semiHidden/>
    <w:qFormat/>
    <w:uiPriority w:val="9"/>
    <w:rPr>
      <w:rFonts w:asciiTheme="majorHAnsi" w:hAnsiTheme="majorHAnsi" w:eastAsiaTheme="majorEastAsia" w:cstheme="majorBidi"/>
      <w:i/>
      <w:iCs/>
      <w:sz w:val="24"/>
      <w:szCs w:val="24"/>
    </w:rPr>
  </w:style>
  <w:style w:type="character" w:customStyle="1" w:styleId="71">
    <w:name w:val="标题 5 字符"/>
    <w:basedOn w:val="29"/>
    <w:link w:val="8"/>
    <w:semiHidden/>
    <w:qFormat/>
    <w:uiPriority w:val="9"/>
    <w:rPr>
      <w:rFonts w:asciiTheme="majorHAnsi" w:hAnsiTheme="majorHAnsi" w:eastAsiaTheme="majorEastAsia" w:cstheme="majorBidi"/>
      <w:b/>
      <w:bCs/>
    </w:rPr>
  </w:style>
  <w:style w:type="character" w:customStyle="1" w:styleId="72">
    <w:name w:val="标题 6 字符"/>
    <w:basedOn w:val="29"/>
    <w:link w:val="9"/>
    <w:semiHidden/>
    <w:qFormat/>
    <w:uiPriority w:val="9"/>
    <w:rPr>
      <w:rFonts w:asciiTheme="majorHAnsi" w:hAnsiTheme="majorHAnsi" w:eastAsiaTheme="majorEastAsia" w:cstheme="majorBidi"/>
      <w:b/>
      <w:bCs/>
      <w:i/>
      <w:iCs/>
    </w:rPr>
  </w:style>
  <w:style w:type="character" w:customStyle="1" w:styleId="73">
    <w:name w:val="标题 7 字符"/>
    <w:basedOn w:val="29"/>
    <w:link w:val="10"/>
    <w:semiHidden/>
    <w:qFormat/>
    <w:uiPriority w:val="9"/>
    <w:rPr>
      <w:i/>
      <w:iCs/>
    </w:rPr>
  </w:style>
  <w:style w:type="character" w:customStyle="1" w:styleId="74">
    <w:name w:val="标题 8 字符"/>
    <w:basedOn w:val="29"/>
    <w:link w:val="11"/>
    <w:semiHidden/>
    <w:qFormat/>
    <w:uiPriority w:val="9"/>
    <w:rPr>
      <w:b/>
      <w:bCs/>
    </w:rPr>
  </w:style>
  <w:style w:type="character" w:customStyle="1" w:styleId="75">
    <w:name w:val="标题 9 字符"/>
    <w:basedOn w:val="29"/>
    <w:link w:val="12"/>
    <w:semiHidden/>
    <w:qFormat/>
    <w:uiPriority w:val="9"/>
    <w:rPr>
      <w:i/>
      <w:iCs/>
    </w:rPr>
  </w:style>
  <w:style w:type="character" w:customStyle="1" w:styleId="76">
    <w:name w:val="标题 字符"/>
    <w:basedOn w:val="29"/>
    <w:link w:val="24"/>
    <w:qFormat/>
    <w:uiPriority w:val="10"/>
    <w:rPr>
      <w:rFonts w:asciiTheme="majorHAnsi" w:hAnsiTheme="majorHAnsi" w:eastAsiaTheme="majorEastAsia" w:cstheme="majorBidi"/>
      <w:b/>
      <w:bCs/>
      <w:spacing w:val="-7"/>
      <w:sz w:val="48"/>
      <w:szCs w:val="48"/>
    </w:rPr>
  </w:style>
  <w:style w:type="character" w:customStyle="1" w:styleId="77">
    <w:name w:val="副标题 字符"/>
    <w:basedOn w:val="29"/>
    <w:link w:val="21"/>
    <w:qFormat/>
    <w:uiPriority w:val="11"/>
    <w:rPr>
      <w:rFonts w:asciiTheme="majorHAnsi" w:hAnsiTheme="majorHAnsi" w:eastAsiaTheme="majorEastAsia" w:cstheme="majorBidi"/>
      <w:sz w:val="24"/>
      <w:szCs w:val="24"/>
    </w:rPr>
  </w:style>
  <w:style w:type="paragraph" w:customStyle="1" w:styleId="78">
    <w:name w:val="No Spacing"/>
    <w:qFormat/>
    <w:uiPriority w:val="1"/>
    <w:pPr>
      <w:spacing w:after="0" w:line="240" w:lineRule="auto"/>
      <w:jc w:val="both"/>
    </w:pPr>
    <w:rPr>
      <w:rFonts w:asciiTheme="minorHAnsi" w:hAnsiTheme="minorHAnsi" w:eastAsiaTheme="minorEastAsia" w:cstheme="minorBidi"/>
      <w:sz w:val="22"/>
      <w:szCs w:val="22"/>
      <w:lang w:val="en-US" w:eastAsia="zh-CN" w:bidi="ar-SA"/>
    </w:rPr>
  </w:style>
  <w:style w:type="paragraph" w:customStyle="1" w:styleId="79">
    <w:name w:val="Quote"/>
    <w:basedOn w:val="1"/>
    <w:next w:val="1"/>
    <w:link w:val="80"/>
    <w:qFormat/>
    <w:uiPriority w:val="29"/>
    <w:pPr>
      <w:spacing w:before="200" w:line="264" w:lineRule="auto"/>
      <w:ind w:left="864" w:right="864"/>
      <w:jc w:val="center"/>
    </w:pPr>
    <w:rPr>
      <w:rFonts w:asciiTheme="majorHAnsi" w:hAnsiTheme="majorHAnsi" w:eastAsiaTheme="majorEastAsia" w:cstheme="majorBidi"/>
      <w:i/>
      <w:iCs/>
      <w:sz w:val="24"/>
      <w:szCs w:val="24"/>
    </w:rPr>
  </w:style>
  <w:style w:type="character" w:customStyle="1" w:styleId="80">
    <w:name w:val="引用 字符"/>
    <w:basedOn w:val="29"/>
    <w:link w:val="79"/>
    <w:qFormat/>
    <w:uiPriority w:val="29"/>
    <w:rPr>
      <w:rFonts w:asciiTheme="majorHAnsi" w:hAnsiTheme="majorHAnsi" w:eastAsiaTheme="majorEastAsia" w:cstheme="majorBidi"/>
      <w:i/>
      <w:iCs/>
      <w:sz w:val="24"/>
      <w:szCs w:val="24"/>
    </w:rPr>
  </w:style>
  <w:style w:type="paragraph" w:customStyle="1" w:styleId="81">
    <w:name w:val="Intense Quote"/>
    <w:basedOn w:val="1"/>
    <w:next w:val="1"/>
    <w:link w:val="82"/>
    <w:qFormat/>
    <w:uiPriority w:val="30"/>
    <w:pPr>
      <w:spacing w:before="100" w:beforeAutospacing="1" w:after="240"/>
      <w:ind w:left="936" w:right="936"/>
      <w:jc w:val="center"/>
    </w:pPr>
    <w:rPr>
      <w:rFonts w:asciiTheme="majorHAnsi" w:hAnsiTheme="majorHAnsi" w:eastAsiaTheme="majorEastAsia" w:cstheme="majorBidi"/>
      <w:sz w:val="26"/>
      <w:szCs w:val="26"/>
    </w:rPr>
  </w:style>
  <w:style w:type="character" w:customStyle="1" w:styleId="82">
    <w:name w:val="明显引用 字符"/>
    <w:basedOn w:val="29"/>
    <w:link w:val="81"/>
    <w:qFormat/>
    <w:uiPriority w:val="30"/>
    <w:rPr>
      <w:rFonts w:asciiTheme="majorHAnsi" w:hAnsiTheme="majorHAnsi" w:eastAsiaTheme="majorEastAsia" w:cstheme="majorBidi"/>
      <w:sz w:val="26"/>
      <w:szCs w:val="26"/>
    </w:rPr>
  </w:style>
  <w:style w:type="character" w:customStyle="1" w:styleId="83">
    <w:name w:val="Subtle Emphasis"/>
    <w:basedOn w:val="29"/>
    <w:qFormat/>
    <w:uiPriority w:val="19"/>
    <w:rPr>
      <w:i/>
      <w:iCs/>
      <w:color w:val="auto"/>
    </w:rPr>
  </w:style>
  <w:style w:type="character" w:customStyle="1" w:styleId="84">
    <w:name w:val="Intense Emphasis"/>
    <w:basedOn w:val="29"/>
    <w:qFormat/>
    <w:uiPriority w:val="21"/>
    <w:rPr>
      <w:b/>
      <w:bCs/>
      <w:i/>
      <w:iCs/>
      <w:color w:val="auto"/>
    </w:rPr>
  </w:style>
  <w:style w:type="character" w:customStyle="1" w:styleId="85">
    <w:name w:val="Subtle Reference"/>
    <w:basedOn w:val="29"/>
    <w:qFormat/>
    <w:uiPriority w:val="31"/>
    <w:rPr>
      <w:smallCaps/>
      <w:color w:val="auto"/>
      <w:u w:val="single" w:color="7E7E7E" w:themeColor="text1" w:themeTint="80"/>
    </w:rPr>
  </w:style>
  <w:style w:type="character" w:customStyle="1" w:styleId="86">
    <w:name w:val="Intense Reference"/>
    <w:basedOn w:val="29"/>
    <w:qFormat/>
    <w:uiPriority w:val="32"/>
    <w:rPr>
      <w:b/>
      <w:bCs/>
      <w:smallCaps/>
      <w:color w:val="auto"/>
      <w:u w:val="single"/>
    </w:rPr>
  </w:style>
  <w:style w:type="character" w:customStyle="1" w:styleId="87">
    <w:name w:val="Book Title"/>
    <w:basedOn w:val="29"/>
    <w:qFormat/>
    <w:uiPriority w:val="33"/>
    <w:rPr>
      <w:b/>
      <w:bCs/>
      <w:smallCaps/>
      <w:color w:val="auto"/>
    </w:rPr>
  </w:style>
  <w:style w:type="paragraph" w:customStyle="1" w:styleId="88">
    <w:name w:val="TOC Heading"/>
    <w:basedOn w:val="4"/>
    <w:next w:val="1"/>
    <w:unhideWhenUsed/>
    <w:qFormat/>
    <w:uiPriority w:val="39"/>
    <w:pPr>
      <w:outlineLvl w:val="9"/>
    </w:pPr>
  </w:style>
  <w:style w:type="paragraph" w:customStyle="1" w:styleId="89">
    <w:name w:val="正文文本1"/>
    <w:basedOn w:val="1"/>
    <w:qFormat/>
    <w:uiPriority w:val="0"/>
    <w:pPr>
      <w:shd w:val="clear" w:color="auto" w:fill="FFFFFF"/>
      <w:spacing w:after="180" w:line="0" w:lineRule="atLeast"/>
      <w:ind w:hanging="1860"/>
      <w:jc w:val="center"/>
    </w:pPr>
    <w:rPr>
      <w:rFonts w:ascii="宋体" w:hAnsi="宋体" w:cs="宋体"/>
      <w:kern w:val="0"/>
      <w:sz w:val="20"/>
      <w:szCs w:val="20"/>
    </w:rPr>
  </w:style>
  <w:style w:type="character" w:customStyle="1" w:styleId="90">
    <w:name w:val="正文文本 + MS Gothic"/>
    <w:qFormat/>
    <w:uiPriority w:val="0"/>
    <w:rPr>
      <w:rFonts w:ascii="MS Gothic" w:hAnsi="MS Gothic" w:eastAsia="MS Gothic" w:cs="MS Gothic"/>
      <w:color w:val="000000"/>
      <w:spacing w:val="0"/>
      <w:w w:val="100"/>
      <w:position w:val="0"/>
      <w:sz w:val="21"/>
      <w:szCs w:val="21"/>
      <w:u w:val="none"/>
      <w:lang w:val="en-US"/>
    </w:rPr>
  </w:style>
  <w:style w:type="paragraph" w:customStyle="1" w:styleId="91">
    <w:name w:val="报告正文"/>
    <w:basedOn w:val="1"/>
    <w:qFormat/>
    <w:uiPriority w:val="0"/>
    <w:pPr>
      <w:widowControl/>
      <w:snapToGrid w:val="0"/>
      <w:spacing w:line="360" w:lineRule="auto"/>
      <w:ind w:firstLine="480" w:firstLineChars="200"/>
      <w:contextualSpacing/>
      <w:jc w:val="left"/>
    </w:pPr>
    <w:rPr>
      <w:rFonts w:ascii="宋体" w:hAnsi="宋体" w:cs="宋体"/>
      <w:color w:val="000000"/>
      <w:sz w:val="24"/>
      <w:szCs w:val="24"/>
    </w:rPr>
  </w:style>
  <w:style w:type="table" w:customStyle="1" w:styleId="92">
    <w:name w:val="网格型-中对齐19"/>
    <w:basedOn w:val="26"/>
    <w:qFormat/>
    <w:uiPriority w:val="59"/>
    <w:rPr>
      <w:rFonts w:ascii="Times New Roman" w:hAnsi="Times New Roman" w:eastAsia="宋体" w:cs="Times New Roman"/>
      <w:kern w:val="0"/>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3">
    <w:name w:val="三级标题"/>
    <w:basedOn w:val="94"/>
    <w:qFormat/>
    <w:uiPriority w:val="0"/>
    <w:pPr>
      <w:spacing w:before="156" w:after="156"/>
    </w:pPr>
    <w:rPr>
      <w:sz w:val="24"/>
    </w:rPr>
  </w:style>
  <w:style w:type="paragraph" w:customStyle="1" w:styleId="94">
    <w:name w:val="三级"/>
    <w:basedOn w:val="1"/>
    <w:next w:val="1"/>
    <w:qFormat/>
    <w:uiPriority w:val="0"/>
    <w:pPr>
      <w:spacing w:beforeLines="50" w:afterLines="50" w:line="300" w:lineRule="auto"/>
      <w:jc w:val="left"/>
      <w:outlineLvl w:val="3"/>
    </w:pPr>
    <w:rPr>
      <w:b/>
      <w:color w:val="000000"/>
    </w:rPr>
  </w:style>
  <w:style w:type="paragraph" w:customStyle="1" w:styleId="95">
    <w:name w:val="正文2"/>
    <w:basedOn w:val="1"/>
    <w:qFormat/>
    <w:uiPriority w:val="0"/>
    <w:pPr>
      <w:adjustRightInd w:val="0"/>
      <w:spacing w:line="360" w:lineRule="auto"/>
      <w:ind w:firstLine="480" w:firstLineChars="200"/>
    </w:pPr>
    <w:rPr>
      <w:rFonts w:ascii="宋体" w:hAnsi="宋体"/>
      <w:color w:val="000000"/>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平面">
  <a:themeElements>
    <a:clrScheme name="黄色">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平面">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平面">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Manager>Abu设计</Manager>
  <Company>Abu设计</Company>
  <Pages>24</Pages>
  <Words>1976</Words>
  <Characters>11267</Characters>
  <Lines>93</Lines>
  <Paragraphs>26</Paragraphs>
  <TotalTime>1</TotalTime>
  <ScaleCrop>false</ScaleCrop>
  <LinksUpToDate>false</LinksUpToDate>
  <CharactersWithSpaces>13217</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信纸</cp:category>
  <dcterms:created xsi:type="dcterms:W3CDTF">2019-11-24T14:44:00Z</dcterms:created>
  <dc:creator>熊猫达人</dc:creator>
  <dc:description>更多Abu设计的信纸请访问
http://chn.docer.com/works?userid=415014680
谢谢支持</dc:description>
  <cp:keywords>信纸 信笺背景</cp:keywords>
  <cp:lastModifiedBy>琥珀</cp:lastModifiedBy>
  <cp:lastPrinted>2017-06-16T11:08:00Z</cp:lastPrinted>
  <dcterms:modified xsi:type="dcterms:W3CDTF">2022-07-12T09:26:25Z</dcterms:modified>
  <dc:subject>信纸</dc:subject>
  <dc:title>信纸-Abu设计</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F5F24E5E4D9A492BA76AB3DDA1FE4602</vt:lpwstr>
  </property>
</Properties>
</file>