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eastAsia="宋体"/>
        </w:rPr>
      </w:pPr>
      <w:r>
        <w:rPr>
          <w:sz w:val="24"/>
        </w:rPr>
        <w:drawing>
          <wp:anchor distT="0" distB="0" distL="114935" distR="114935" simplePos="0" relativeHeight="251661312" behindDoc="1" locked="0" layoutInCell="1" allowOverlap="1">
            <wp:simplePos x="0" y="0"/>
            <wp:positionH relativeFrom="column">
              <wp:posOffset>-1212215</wp:posOffset>
            </wp:positionH>
            <wp:positionV relativeFrom="paragraph">
              <wp:posOffset>-989330</wp:posOffset>
            </wp:positionV>
            <wp:extent cx="7662545" cy="10855960"/>
            <wp:effectExtent l="0" t="0" r="14605" b="2540"/>
            <wp:wrapNone/>
            <wp:docPr id="38" name="图片 38"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蓝黑封面"/>
                    <pic:cNvPicPr>
                      <a:picLocks noChangeAspect="1"/>
                    </pic:cNvPicPr>
                  </pic:nvPicPr>
                  <pic:blipFill>
                    <a:blip r:embed="rId12"/>
                    <a:stretch>
                      <a:fillRect/>
                    </a:stretch>
                  </pic:blipFill>
                  <pic:spPr>
                    <a:xfrm>
                      <a:off x="0" y="0"/>
                      <a:ext cx="7662545" cy="10855960"/>
                    </a:xfrm>
                    <a:prstGeom prst="rect">
                      <a:avLst/>
                    </a:prstGeom>
                  </pic:spPr>
                </pic:pic>
              </a:graphicData>
            </a:graphic>
          </wp:anchor>
        </w:drawing>
      </w:r>
    </w:p>
    <w:p>
      <w:pPr>
        <w:sectPr>
          <w:headerReference r:id="rId5" w:type="default"/>
          <w:pgSz w:w="11906" w:h="16838"/>
          <w:pgMar w:top="1531" w:right="1361" w:bottom="1418" w:left="1531" w:header="851" w:footer="992" w:gutter="0"/>
          <w:cols w:space="425" w:num="1"/>
          <w:titlePg/>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-921385</wp:posOffset>
                </wp:positionH>
                <wp:positionV relativeFrom="paragraph">
                  <wp:posOffset>8870315</wp:posOffset>
                </wp:positionV>
                <wp:extent cx="4060190" cy="603250"/>
                <wp:effectExtent l="0" t="0" r="0" b="0"/>
                <wp:wrapNone/>
                <wp:docPr id="25" name="文本框 13"/>
                <wp:cNvGraphicFramePr/>
                <a:graphic xmlns:a="http://schemas.openxmlformats.org/drawingml/2006/main">
                  <a:graphicData uri="http://schemas.microsoft.com/office/word/2010/wordprocessingShape">
                    <wps:wsp>
                      <wps:cNvSpPr txBox="1"/>
                      <wps:spPr>
                        <a:xfrm>
                          <a:off x="576580" y="9822815"/>
                          <a:ext cx="4060190" cy="603250"/>
                        </a:xfrm>
                        <a:prstGeom prst="rect">
                          <a:avLst/>
                        </a:prstGeom>
                        <a:noFill/>
                        <a:ln>
                          <a:noFill/>
                        </a:ln>
                        <a:effectLst/>
                      </wps:spPr>
                      <wps:txbx>
                        <w:txbxContent>
                          <w:p>
                            <w:pPr>
                              <w:keepNext w:val="0"/>
                              <w:keepLines w:val="0"/>
                              <w:widowControl/>
                              <w:suppressLineNumbers w:val="0"/>
                              <w:spacing w:before="0" w:beforeAutospacing="0" w:after="0" w:afterAutospacing="0"/>
                              <w:ind w:left="0" w:right="0"/>
                              <w:jc w:val="both"/>
                              <w:rPr>
                                <w:rFonts w:ascii="Calibri" w:hAnsi="Calibri" w:cs="Calibri"/>
                                <w:sz w:val="21"/>
                                <w:szCs w:val="21"/>
                              </w:rPr>
                            </w:pPr>
                            <w:r>
                              <w:rPr>
                                <w:rFonts w:hint="eastAsia" w:ascii="宋体" w:hAnsi="宋体" w:eastAsia="宋体" w:cs="宋体"/>
                                <w:b/>
                                <w:bCs/>
                                <w:color w:val="000000" w:themeColor="text1"/>
                                <w:sz w:val="40"/>
                                <w:szCs w:val="40"/>
                                <w:lang w:val="en-US" w:eastAsia="zh-CN"/>
                                <w14:textFill>
                                  <w14:solidFill>
                                    <w14:schemeClr w14:val="tx1"/>
                                  </w14:solidFill>
                                </w14:textFill>
                              </w:rPr>
                              <w:t>钱江集团温岭正峰动力有限公司</w:t>
                            </w:r>
                            <w:r>
                              <w:rPr>
                                <w:rFonts w:ascii="华文楷体" w:hAnsi="华文楷体" w:eastAsia="华文楷体" w:cs="华文楷体"/>
                                <w:i w:val="0"/>
                                <w:iCs w:val="0"/>
                                <w:caps w:val="0"/>
                                <w:color w:val="000000"/>
                                <w:spacing w:val="0"/>
                                <w:kern w:val="0"/>
                                <w:sz w:val="21"/>
                                <w:szCs w:val="21"/>
                                <w:lang w:val="en-US" w:eastAsia="zh-CN" w:bidi="ar"/>
                              </w:rPr>
                              <w:t> </w:t>
                            </w:r>
                          </w:p>
                          <w:p>
                            <w:pPr>
                              <w:rPr>
                                <w:rFonts w:hint="eastAsia" w:ascii="宋体" w:hAnsi="宋体" w:eastAsia="宋体" w:cs="宋体"/>
                                <w:b/>
                                <w:bCs/>
                                <w:color w:val="000000" w:themeColor="text1"/>
                                <w:sz w:val="28"/>
                                <w:szCs w:val="32"/>
                                <w:lang w:eastAsia="zh-CN"/>
                                <w14:textFill>
                                  <w14:solidFill>
                                    <w14:schemeClr w14:val="tx1"/>
                                  </w14:solidFill>
                                </w14:textFill>
                              </w:rPr>
                            </w:pPr>
                          </w:p>
                        </w:txbxContent>
                      </wps:txbx>
                      <wps:bodyPr vert="horz" wrap="square" anchor="t">
                        <a:noAutofit/>
                      </wps:bodyPr>
                    </wps:wsp>
                  </a:graphicData>
                </a:graphic>
              </wp:anchor>
            </w:drawing>
          </mc:Choice>
          <mc:Fallback>
            <w:pict>
              <v:shape id="文本框 13" o:spid="_x0000_s1026" o:spt="202" type="#_x0000_t202" style="position:absolute;left:0pt;margin-left:-72.55pt;margin-top:698.45pt;height:47.5pt;width:319.7pt;z-index:251660288;mso-width-relative:page;mso-height-relative:page;" filled="f" stroked="f" coordsize="21600,21600" o:gfxdata="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eKHO9oAAAAOAQAA&#10;DwAAAAAAAAABACAAAAAiAAAAZHJzL2Rvd25yZXYueG1sUEsBAhQAFAAAAAgAh07iQI1xw+PeAQAA&#10;nAMAAA4AAAAAAAAAAQAgAAAAKQEAAGRycy9lMm9Eb2MueG1sUEsFBgAAAAAGAAYAWQEAAHkFAAAA&#10;AA==&#10;">
                <v:fill on="f" focussize="0,0"/>
                <v:stroke on="f"/>
                <v:imagedata o:title=""/>
                <o:lock v:ext="edit" aspectratio="f"/>
                <v:textbox>
                  <w:txbxContent>
                    <w:p>
                      <w:pPr>
                        <w:keepNext w:val="0"/>
                        <w:keepLines w:val="0"/>
                        <w:widowControl/>
                        <w:suppressLineNumbers w:val="0"/>
                        <w:spacing w:before="0" w:beforeAutospacing="0" w:after="0" w:afterAutospacing="0"/>
                        <w:ind w:left="0" w:right="0"/>
                        <w:jc w:val="both"/>
                        <w:rPr>
                          <w:rFonts w:ascii="Calibri" w:hAnsi="Calibri" w:cs="Calibri"/>
                          <w:sz w:val="21"/>
                          <w:szCs w:val="21"/>
                        </w:rPr>
                      </w:pPr>
                      <w:r>
                        <w:rPr>
                          <w:rFonts w:hint="eastAsia" w:ascii="宋体" w:hAnsi="宋体" w:eastAsia="宋体" w:cs="宋体"/>
                          <w:b/>
                          <w:bCs/>
                          <w:color w:val="000000" w:themeColor="text1"/>
                          <w:sz w:val="40"/>
                          <w:szCs w:val="40"/>
                          <w:lang w:val="en-US" w:eastAsia="zh-CN"/>
                          <w14:textFill>
                            <w14:solidFill>
                              <w14:schemeClr w14:val="tx1"/>
                            </w14:solidFill>
                          </w14:textFill>
                        </w:rPr>
                        <w:t>钱江集团温岭正峰动力有限公司</w:t>
                      </w:r>
                      <w:r>
                        <w:rPr>
                          <w:rFonts w:ascii="华文楷体" w:hAnsi="华文楷体" w:eastAsia="华文楷体" w:cs="华文楷体"/>
                          <w:i w:val="0"/>
                          <w:iCs w:val="0"/>
                          <w:caps w:val="0"/>
                          <w:color w:val="000000"/>
                          <w:spacing w:val="0"/>
                          <w:kern w:val="0"/>
                          <w:sz w:val="21"/>
                          <w:szCs w:val="21"/>
                          <w:lang w:val="en-US" w:eastAsia="zh-CN" w:bidi="ar"/>
                        </w:rPr>
                        <w:t> </w:t>
                      </w:r>
                    </w:p>
                    <w:p>
                      <w:pPr>
                        <w:rPr>
                          <w:rFonts w:hint="eastAsia" w:ascii="宋体" w:hAnsi="宋体" w:eastAsia="宋体" w:cs="宋体"/>
                          <w:b/>
                          <w:bCs/>
                          <w:color w:val="000000" w:themeColor="text1"/>
                          <w:sz w:val="28"/>
                          <w:szCs w:val="32"/>
                          <w:lang w:eastAsia="zh-CN"/>
                          <w14:textFill>
                            <w14:solidFill>
                              <w14:schemeClr w14:val="tx1"/>
                            </w14:solidFill>
                          </w14:textFill>
                        </w:rPr>
                      </w:pPr>
                    </w:p>
                  </w:txbxContent>
                </v:textbox>
              </v:shape>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885825</wp:posOffset>
                </wp:positionH>
                <wp:positionV relativeFrom="paragraph">
                  <wp:posOffset>3041650</wp:posOffset>
                </wp:positionV>
                <wp:extent cx="6611620" cy="3392170"/>
                <wp:effectExtent l="0" t="0" r="0" b="0"/>
                <wp:wrapNone/>
                <wp:docPr id="20" name="组合 75"/>
                <wp:cNvGraphicFramePr/>
                <a:graphic xmlns:a="http://schemas.openxmlformats.org/drawingml/2006/main">
                  <a:graphicData uri="http://schemas.microsoft.com/office/word/2010/wordprocessingGroup">
                    <wpg:wgp>
                      <wpg:cNvGrpSpPr/>
                      <wpg:grpSpPr>
                        <a:xfrm>
                          <a:off x="0" y="0"/>
                          <a:ext cx="6611620" cy="3392170"/>
                          <a:chOff x="13587" y="9509"/>
                          <a:chExt cx="10413" cy="5394"/>
                        </a:xfrm>
                        <a:effectLst/>
                      </wpg:grpSpPr>
                      <wps:wsp>
                        <wps:cNvPr id="26" name="文本框 11"/>
                        <wps:cNvSpPr txBox="1"/>
                        <wps:spPr>
                          <a:xfrm>
                            <a:off x="13587" y="9509"/>
                            <a:ext cx="10413" cy="2827"/>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44"/>
                                  <w:szCs w:val="144"/>
                                  <w:lang w:bidi="ar"/>
                                </w:rPr>
                                <w:t>社会责任报告</w:t>
                              </w:r>
                            </w:p>
                          </w:txbxContent>
                        </wps:txbx>
                        <wps:bodyPr wrap="square">
                          <a:spAutoFit/>
                        </wps:bodyPr>
                      </wps:wsp>
                      <wps:wsp>
                        <wps:cNvPr id="27" name="文本框 13"/>
                        <wps:cNvSpPr txBox="1"/>
                        <wps:spPr>
                          <a:xfrm>
                            <a:off x="15074" y="12076"/>
                            <a:ext cx="6683" cy="2827"/>
                          </a:xfrm>
                          <a:prstGeom prst="rect">
                            <a:avLst/>
                          </a:prstGeom>
                          <a:noFill/>
                          <a:ln>
                            <a:noFill/>
                          </a:ln>
                          <a:effectLst/>
                        </wps:spPr>
                        <wps:txbx>
                          <w:txbxContent>
                            <w:p>
                              <w:pPr>
                                <w:jc w:val="center"/>
                                <w:rPr>
                                  <w:rFonts w:hint="eastAsia" w:eastAsia="微软雅黑"/>
                                  <w:color w:val="FFFFFF" w:themeColor="background1"/>
                                  <w:sz w:val="32"/>
                                  <w:szCs w:val="40"/>
                                  <w:lang w:eastAsia="zh-CN"/>
                                  <w14:textFill>
                                    <w14:solidFill>
                                      <w14:schemeClr w14:val="bg1"/>
                                    </w14:solidFill>
                                  </w14:textFill>
                                </w:rPr>
                              </w:pPr>
                              <w:r>
                                <w:rPr>
                                  <w:rFonts w:hint="eastAsia" w:ascii="微软雅黑" w:hAnsi="微软雅黑" w:eastAsia="微软雅黑" w:cs="微软雅黑"/>
                                  <w:b/>
                                  <w:bCs/>
                                  <w:color w:val="FFFFFF" w:themeColor="background1"/>
                                  <w:kern w:val="24"/>
                                  <w:sz w:val="144"/>
                                  <w:szCs w:val="144"/>
                                  <w:lang w:bidi="ar"/>
                                  <w14:textFill>
                                    <w14:solidFill>
                                      <w14:schemeClr w14:val="bg1"/>
                                    </w14:solidFill>
                                  </w14:textFill>
                                </w:rPr>
                                <w:t>202</w:t>
                              </w:r>
                              <w:r>
                                <w:rPr>
                                  <w:rFonts w:hint="eastAsia" w:ascii="微软雅黑" w:hAnsi="微软雅黑" w:eastAsia="微软雅黑" w:cs="微软雅黑"/>
                                  <w:b/>
                                  <w:bCs/>
                                  <w:color w:val="FFFFFF" w:themeColor="background1"/>
                                  <w:kern w:val="24"/>
                                  <w:sz w:val="144"/>
                                  <w:szCs w:val="144"/>
                                  <w:lang w:val="en-US" w:eastAsia="zh-CN" w:bidi="ar"/>
                                  <w14:textFill>
                                    <w14:solidFill>
                                      <w14:schemeClr w14:val="bg1"/>
                                    </w14:solidFill>
                                  </w14:textFill>
                                </w:rPr>
                                <w:t>4</w:t>
                              </w:r>
                            </w:p>
                          </w:txbxContent>
                        </wps:txbx>
                        <wps:bodyPr wrap="square">
                          <a:spAutoFit/>
                        </wps:bodyPr>
                      </wps:wsp>
                    </wpg:wgp>
                  </a:graphicData>
                </a:graphic>
              </wp:anchor>
            </w:drawing>
          </mc:Choice>
          <mc:Fallback>
            <w:pict>
              <v:group id="组合 75" o:spid="_x0000_s1026" o:spt="203" style="position:absolute;left:0pt;margin-left:69.75pt;margin-top:239.5pt;height:267.1pt;width:520.6pt;z-index:251659264;mso-width-relative:page;mso-height-relative:page;" coordorigin="13587,9509" coordsize="10413,5394" o:gfxdata="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GpPtsAAAANAQAADwAAAAAAAAABACAAAAAiAAAAZHJzL2Rvd25yZXYueG1sUEsBAhQA&#10;FAAAAAgAh07iQPPvcZdhAgAAXwYAAA4AAAAAAAAAAQAgAAAAKgEAAGRycy9lMm9Eb2MueG1sUEsF&#10;BgAAAAAGAAYAWQEAAP0FAAAAAA==&#10;">
                <o:lock v:ext="edit" aspectratio="f"/>
                <v:shape id="文本框 11" o:spid="_x0000_s1026" o:spt="202" type="#_x0000_t202" style="position:absolute;left:13587;top:9509;height:2827;width:10413;" filled="f" stroked="f" coordsize="21600,21600" o:gfxdata="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DZ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44"/>
                            <w:szCs w:val="144"/>
                            <w:lang w:bidi="ar"/>
                          </w:rPr>
                          <w:t>社会责任报告</w:t>
                        </w:r>
                      </w:p>
                    </w:txbxContent>
                  </v:textbox>
                </v:shape>
                <v:shape id="文本框 13" o:spid="_x0000_s1026" o:spt="202" type="#_x0000_t202" style="position:absolute;left:15074;top:12076;height:2827;width:6683;"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rPr>
                            <w:rFonts w:hint="eastAsia" w:eastAsia="微软雅黑"/>
                            <w:color w:val="FFFFFF" w:themeColor="background1"/>
                            <w:sz w:val="32"/>
                            <w:szCs w:val="40"/>
                            <w:lang w:eastAsia="zh-CN"/>
                            <w14:textFill>
                              <w14:solidFill>
                                <w14:schemeClr w14:val="bg1"/>
                              </w14:solidFill>
                            </w14:textFill>
                          </w:rPr>
                        </w:pPr>
                        <w:r>
                          <w:rPr>
                            <w:rFonts w:hint="eastAsia" w:ascii="微软雅黑" w:hAnsi="微软雅黑" w:eastAsia="微软雅黑" w:cs="微软雅黑"/>
                            <w:b/>
                            <w:bCs/>
                            <w:color w:val="FFFFFF" w:themeColor="background1"/>
                            <w:kern w:val="24"/>
                            <w:sz w:val="144"/>
                            <w:szCs w:val="144"/>
                            <w:lang w:bidi="ar"/>
                            <w14:textFill>
                              <w14:solidFill>
                                <w14:schemeClr w14:val="bg1"/>
                              </w14:solidFill>
                            </w14:textFill>
                          </w:rPr>
                          <w:t>202</w:t>
                        </w:r>
                        <w:r>
                          <w:rPr>
                            <w:rFonts w:hint="eastAsia" w:ascii="微软雅黑" w:hAnsi="微软雅黑" w:eastAsia="微软雅黑" w:cs="微软雅黑"/>
                            <w:b/>
                            <w:bCs/>
                            <w:color w:val="FFFFFF" w:themeColor="background1"/>
                            <w:kern w:val="24"/>
                            <w:sz w:val="144"/>
                            <w:szCs w:val="144"/>
                            <w:lang w:val="en-US" w:eastAsia="zh-CN" w:bidi="ar"/>
                            <w14:textFill>
                              <w14:solidFill>
                                <w14:schemeClr w14:val="bg1"/>
                              </w14:solidFill>
                            </w14:textFill>
                          </w:rPr>
                          <w:t>4</w:t>
                        </w:r>
                      </w:p>
                    </w:txbxContent>
                  </v:textbox>
                </v:shape>
              </v:group>
            </w:pict>
          </mc:Fallback>
        </mc:AlternateContent>
      </w:r>
    </w:p>
    <w:p/>
    <w:p>
      <w:pPr>
        <w:pStyle w:val="4"/>
        <w:spacing w:after="240"/>
        <w:jc w:val="center"/>
        <w:rPr>
          <w:rFonts w:hint="eastAsia" w:ascii="宋体" w:cs="宋体"/>
        </w:rPr>
      </w:pPr>
      <w:bookmarkStart w:id="0" w:name="_Toc5759"/>
      <w:r>
        <w:rPr>
          <w:rFonts w:hint="eastAsia"/>
        </w:rPr>
        <w:t>郑重声明</w:t>
      </w:r>
      <w:bookmarkEnd w:id="0"/>
    </w:p>
    <w:p>
      <w:pPr>
        <w:tabs>
          <w:tab w:val="left" w:pos="3654"/>
        </w:tabs>
        <w:adjustRightInd w:val="0"/>
        <w:snapToGrid w:val="0"/>
        <w:spacing w:line="36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本公司出具的社会责任报告，是依据国家有关质量法律、法规等进行撰写。报告中关于公司质量诚信是公司现状的真实反映，本公司对报告内容的客观性负责，对相关论述和结论真实性和科学性负责。</w:t>
      </w: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宋体" w:cs="宋体"/>
          <w:sz w:val="28"/>
          <w:szCs w:val="28"/>
        </w:rPr>
      </w:pPr>
    </w:p>
    <w:p>
      <w:pPr>
        <w:spacing w:line="520" w:lineRule="exact"/>
        <w:ind w:firstLine="5040" w:firstLineChars="1800"/>
        <w:rPr>
          <w:rFonts w:ascii="EHKHQN+ËÎÌå" w:hAnsi="EHKHQN+ËÎÌå" w:cs="EHKHQN+ËÎÌå"/>
          <w:color w:val="000000"/>
          <w:sz w:val="28"/>
          <w:szCs w:val="28"/>
        </w:rPr>
      </w:pPr>
    </w:p>
    <w:p>
      <w:pPr>
        <w:keepNext w:val="0"/>
        <w:keepLines w:val="0"/>
        <w:widowControl/>
        <w:suppressLineNumbers w:val="0"/>
        <w:spacing w:before="0" w:beforeAutospacing="0" w:after="0" w:afterAutospacing="0"/>
        <w:ind w:right="0" w:firstLine="5600" w:firstLineChars="2000"/>
        <w:jc w:val="both"/>
        <w:rPr>
          <w:rFonts w:ascii="Calibri" w:hAnsi="Calibri" w:cs="Calibri"/>
          <w:sz w:val="21"/>
          <w:szCs w:val="21"/>
        </w:rPr>
      </w:pPr>
      <w:r>
        <w:rPr>
          <w:rFonts w:hint="eastAsia" w:ascii="EHKHQN+ËÎÌå" w:hAnsi="EHKHQN+ËÎÌå" w:cs="EHKHQN+ËÎÌå"/>
          <w:color w:val="000000"/>
          <w:sz w:val="28"/>
          <w:szCs w:val="28"/>
          <w:lang w:val="en-US" w:eastAsia="zh-CN"/>
        </w:rPr>
        <w:t>钱江集团温岭正峰动力有限公司</w:t>
      </w:r>
      <w:r>
        <w:rPr>
          <w:rFonts w:ascii="华文楷体" w:hAnsi="华文楷体" w:eastAsia="华文楷体" w:cs="华文楷体"/>
          <w:i w:val="0"/>
          <w:iCs w:val="0"/>
          <w:caps w:val="0"/>
          <w:color w:val="000000"/>
          <w:spacing w:val="0"/>
          <w:kern w:val="0"/>
          <w:sz w:val="21"/>
          <w:szCs w:val="21"/>
          <w:lang w:val="en-US" w:eastAsia="zh-CN" w:bidi="ar"/>
        </w:rPr>
        <w:t> </w:t>
      </w:r>
    </w:p>
    <w:p>
      <w:pPr>
        <w:spacing w:line="400" w:lineRule="exact"/>
        <w:jc w:val="right"/>
        <w:rPr>
          <w:rFonts w:ascii="EHKHQN+ËÎÌå" w:hAnsi="EHKHQN+ËÎÌå" w:cs="EHKHQN+ËÎÌå"/>
          <w:color w:val="000000"/>
          <w:sz w:val="28"/>
          <w:szCs w:val="28"/>
        </w:rPr>
        <w:sectPr>
          <w:footerReference r:id="rId6" w:type="default"/>
          <w:pgSz w:w="11906" w:h="16838"/>
          <w:pgMar w:top="1440" w:right="1080" w:bottom="1440" w:left="1080" w:header="851" w:footer="992" w:gutter="0"/>
          <w:cols w:space="425" w:num="1"/>
          <w:docGrid w:type="lines" w:linePitch="312" w:charSpace="0"/>
        </w:sectPr>
      </w:pPr>
    </w:p>
    <w:sdt>
      <w:sdtPr>
        <w:rPr>
          <w:rFonts w:hint="eastAsia" w:ascii="黑体" w:hAnsi="黑体" w:eastAsia="黑体" w:cs="黑体"/>
          <w:sz w:val="36"/>
          <w:szCs w:val="36"/>
          <w:lang w:val="zh-CN"/>
        </w:rPr>
        <w:id w:val="444426780"/>
      </w:sdtPr>
      <w:sdtEndPr>
        <w:rPr>
          <w:rFonts w:hint="eastAsia" w:ascii="黑体" w:hAnsi="黑体" w:eastAsia="黑体" w:cs="黑体"/>
          <w:sz w:val="28"/>
          <w:szCs w:val="28"/>
          <w:lang w:val="zh-CN"/>
        </w:rPr>
      </w:sdtEndPr>
      <w:sdtContent>
        <w:p>
          <w:pPr>
            <w:jc w:val="center"/>
            <w:rPr>
              <w:rFonts w:hint="eastAsia" w:asciiTheme="majorHAnsi" w:hAnsiTheme="majorHAnsi" w:eastAsiaTheme="majorEastAsia" w:cstheme="majorBidi"/>
              <w:b/>
              <w:bCs/>
              <w:caps/>
              <w:spacing w:val="4"/>
              <w:sz w:val="28"/>
              <w:szCs w:val="28"/>
            </w:rPr>
          </w:pPr>
          <w:r>
            <w:rPr>
              <w:rFonts w:hint="eastAsia" w:asciiTheme="majorHAnsi" w:hAnsiTheme="majorHAnsi" w:eastAsiaTheme="majorEastAsia" w:cstheme="majorBidi"/>
              <w:b/>
              <w:bCs/>
              <w:caps/>
              <w:spacing w:val="4"/>
              <w:sz w:val="28"/>
              <w:szCs w:val="28"/>
            </w:rPr>
            <w:t>目录</w:t>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
              <w:bCs/>
              <w:sz w:val="40"/>
              <w:szCs w:val="40"/>
            </w:rPr>
            <w:fldChar w:fldCharType="begin"/>
          </w:r>
          <w:r>
            <w:rPr>
              <w:rFonts w:hint="eastAsia" w:ascii="黑体" w:hAnsi="黑体" w:eastAsia="黑体" w:cs="黑体"/>
              <w:b/>
              <w:bCs/>
              <w:sz w:val="40"/>
              <w:szCs w:val="40"/>
            </w:rPr>
            <w:instrText xml:space="preserve"> TOC \o "1-3" \h \z \u </w:instrText>
          </w:r>
          <w:r>
            <w:rPr>
              <w:rFonts w:hint="eastAsia" w:ascii="黑体" w:hAnsi="黑体" w:eastAsia="黑体" w:cs="黑体"/>
              <w:b/>
              <w:bCs/>
              <w:sz w:val="40"/>
              <w:szCs w:val="40"/>
            </w:rPr>
            <w:fldChar w:fldCharType="separate"/>
          </w:r>
          <w:r>
            <w:rPr>
              <w:rFonts w:hint="eastAsia" w:ascii="黑体" w:hAnsi="黑体" w:eastAsia="黑体" w:cs="黑体"/>
              <w:bCs/>
              <w:szCs w:val="40"/>
            </w:rPr>
            <w:fldChar w:fldCharType="begin"/>
          </w:r>
          <w:r>
            <w:rPr>
              <w:rFonts w:hint="eastAsia" w:ascii="黑体" w:hAnsi="黑体" w:eastAsia="黑体" w:cs="黑体"/>
              <w:bCs/>
              <w:szCs w:val="40"/>
            </w:rPr>
            <w:instrText xml:space="preserve"> HYPERLINK \l _Toc5759 </w:instrText>
          </w:r>
          <w:r>
            <w:rPr>
              <w:rFonts w:hint="eastAsia" w:ascii="黑体" w:hAnsi="黑体" w:eastAsia="黑体" w:cs="黑体"/>
              <w:bCs/>
              <w:szCs w:val="40"/>
            </w:rPr>
            <w:fldChar w:fldCharType="separate"/>
          </w:r>
          <w:r>
            <w:rPr>
              <w:rFonts w:hint="eastAsia"/>
            </w:rPr>
            <w:t>郑重声明</w:t>
          </w:r>
          <w:r>
            <w:tab/>
          </w:r>
          <w:r>
            <w:fldChar w:fldCharType="begin"/>
          </w:r>
          <w:r>
            <w:instrText xml:space="preserve"> PAGEREF _Toc5759 </w:instrText>
          </w:r>
          <w:r>
            <w:fldChar w:fldCharType="separate"/>
          </w:r>
          <w:r>
            <w:t>2</w:t>
          </w:r>
          <w:r>
            <w:fldChar w:fldCharType="end"/>
          </w:r>
          <w:r>
            <w:rPr>
              <w:rFonts w:hint="eastAsia" w:ascii="黑体" w:hAnsi="黑体" w:eastAsia="黑体" w:cs="黑体"/>
              <w:bCs/>
              <w:szCs w:val="40"/>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_Toc32110 </w:instrText>
          </w:r>
          <w:r>
            <w:rPr>
              <w:rFonts w:hint="eastAsia" w:ascii="黑体" w:hAnsi="黑体" w:eastAsia="黑体" w:cs="黑体"/>
              <w:bCs/>
              <w:szCs w:val="40"/>
              <w:lang w:val="zh-CN"/>
            </w:rPr>
            <w:fldChar w:fldCharType="separate"/>
          </w:r>
          <w:r>
            <w:rPr>
              <w:rFonts w:hint="eastAsia"/>
            </w:rPr>
            <w:t>前言</w:t>
          </w:r>
          <w:r>
            <w:tab/>
          </w:r>
          <w:r>
            <w:fldChar w:fldCharType="begin"/>
          </w:r>
          <w:r>
            <w:instrText xml:space="preserve"> PAGEREF _Toc32110 </w:instrText>
          </w:r>
          <w:r>
            <w:fldChar w:fldCharType="separate"/>
          </w:r>
          <w:r>
            <w:t>4</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_Toc30412 </w:instrText>
          </w:r>
          <w:r>
            <w:rPr>
              <w:rFonts w:hint="eastAsia" w:ascii="黑体" w:hAnsi="黑体" w:eastAsia="黑体" w:cs="黑体"/>
              <w:bCs/>
              <w:szCs w:val="40"/>
              <w:lang w:val="zh-CN"/>
            </w:rPr>
            <w:fldChar w:fldCharType="separate"/>
          </w:r>
          <w:r>
            <w:rPr>
              <w:rFonts w:hint="eastAsia"/>
            </w:rPr>
            <w:t>一、企业简介</w:t>
          </w:r>
          <w:r>
            <w:tab/>
          </w:r>
          <w:r>
            <w:fldChar w:fldCharType="begin"/>
          </w:r>
          <w:r>
            <w:instrText xml:space="preserve"> PAGEREF _Toc30412 </w:instrText>
          </w:r>
          <w:r>
            <w:fldChar w:fldCharType="separate"/>
          </w:r>
          <w:r>
            <w:t>5</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_Toc24355 </w:instrText>
          </w:r>
          <w:r>
            <w:rPr>
              <w:rFonts w:hint="eastAsia" w:ascii="黑体" w:hAnsi="黑体" w:eastAsia="黑体" w:cs="黑体"/>
              <w:bCs/>
              <w:szCs w:val="40"/>
              <w:lang w:val="zh-CN"/>
            </w:rPr>
            <w:fldChar w:fldCharType="separate"/>
          </w:r>
          <w:r>
            <w:rPr>
              <w:rFonts w:hint="eastAsia"/>
            </w:rPr>
            <w:t>二、经济责任</w:t>
          </w:r>
          <w:r>
            <w:tab/>
          </w:r>
          <w:r>
            <w:fldChar w:fldCharType="begin"/>
          </w:r>
          <w:r>
            <w:instrText xml:space="preserve"> PAGEREF _Toc24355 </w:instrText>
          </w:r>
          <w:r>
            <w:fldChar w:fldCharType="separate"/>
          </w:r>
          <w:r>
            <w:t>12</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_Toc19456 </w:instrText>
          </w:r>
          <w:r>
            <w:rPr>
              <w:rFonts w:hint="eastAsia" w:ascii="黑体" w:hAnsi="黑体" w:eastAsia="黑体" w:cs="黑体"/>
              <w:bCs/>
              <w:szCs w:val="40"/>
              <w:lang w:val="zh-CN"/>
            </w:rPr>
            <w:fldChar w:fldCharType="separate"/>
          </w:r>
          <w:r>
            <w:rPr>
              <w:rFonts w:hint="eastAsia"/>
              <w:szCs w:val="21"/>
            </w:rPr>
            <w:t>一、 战略方向</w:t>
          </w:r>
          <w:r>
            <w:tab/>
          </w:r>
          <w:r>
            <w:fldChar w:fldCharType="begin"/>
          </w:r>
          <w:r>
            <w:instrText xml:space="preserve"> PAGEREF _Toc19456 </w:instrText>
          </w:r>
          <w:r>
            <w:fldChar w:fldCharType="separate"/>
          </w:r>
          <w:r>
            <w:t>12</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_Toc27182 </w:instrText>
          </w:r>
          <w:r>
            <w:rPr>
              <w:rFonts w:hint="eastAsia" w:ascii="黑体" w:hAnsi="黑体" w:eastAsia="黑体" w:cs="黑体"/>
              <w:bCs/>
              <w:szCs w:val="40"/>
              <w:lang w:val="zh-CN"/>
            </w:rPr>
            <w:fldChar w:fldCharType="separate"/>
          </w:r>
          <w:r>
            <w:rPr>
              <w:rFonts w:hint="eastAsia"/>
              <w:szCs w:val="21"/>
            </w:rPr>
            <w:t>二、 财务业绩</w:t>
          </w:r>
          <w:r>
            <w:tab/>
          </w:r>
          <w:r>
            <w:fldChar w:fldCharType="begin"/>
          </w:r>
          <w:r>
            <w:instrText xml:space="preserve"> PAGEREF _Toc27182 </w:instrText>
          </w:r>
          <w:r>
            <w:fldChar w:fldCharType="separate"/>
          </w:r>
          <w:r>
            <w:t>12</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_Toc7678 </w:instrText>
          </w:r>
          <w:r>
            <w:rPr>
              <w:rFonts w:hint="eastAsia" w:ascii="黑体" w:hAnsi="黑体" w:eastAsia="黑体" w:cs="黑体"/>
              <w:bCs/>
              <w:szCs w:val="40"/>
              <w:lang w:val="zh-CN"/>
            </w:rPr>
            <w:fldChar w:fldCharType="separate"/>
          </w:r>
          <w:r>
            <w:rPr>
              <w:rFonts w:hint="eastAsia"/>
            </w:rPr>
            <w:t>三、社会责任</w:t>
          </w:r>
          <w:r>
            <w:tab/>
          </w:r>
          <w:r>
            <w:fldChar w:fldCharType="begin"/>
          </w:r>
          <w:r>
            <w:instrText xml:space="preserve"> PAGEREF _Toc7678 </w:instrText>
          </w:r>
          <w:r>
            <w:fldChar w:fldCharType="separate"/>
          </w:r>
          <w:r>
            <w:t>12</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_Toc24945 </w:instrText>
          </w:r>
          <w:r>
            <w:rPr>
              <w:rFonts w:hint="eastAsia" w:ascii="黑体" w:hAnsi="黑体" w:eastAsia="黑体" w:cs="黑体"/>
              <w:bCs/>
              <w:szCs w:val="40"/>
              <w:lang w:val="zh-CN"/>
            </w:rPr>
            <w:fldChar w:fldCharType="separate"/>
          </w:r>
          <w:r>
            <w:rPr>
              <w:rFonts w:hint="eastAsia" w:hAnsi="宋体"/>
              <w:szCs w:val="21"/>
            </w:rPr>
            <w:t>一、 诚信守法</w:t>
          </w:r>
          <w:r>
            <w:tab/>
          </w:r>
          <w:r>
            <w:fldChar w:fldCharType="begin"/>
          </w:r>
          <w:r>
            <w:instrText xml:space="preserve"> PAGEREF _Toc24945 </w:instrText>
          </w:r>
          <w:r>
            <w:fldChar w:fldCharType="separate"/>
          </w:r>
          <w:r>
            <w:t>12</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_Toc7328 </w:instrText>
          </w:r>
          <w:r>
            <w:rPr>
              <w:rFonts w:hint="eastAsia" w:ascii="黑体" w:hAnsi="黑体" w:eastAsia="黑体" w:cs="黑体"/>
              <w:bCs/>
              <w:szCs w:val="40"/>
              <w:lang w:val="zh-CN"/>
            </w:rPr>
            <w:fldChar w:fldCharType="separate"/>
          </w:r>
          <w:r>
            <w:rPr>
              <w:rFonts w:hint="eastAsia" w:hAnsi="宋体"/>
              <w:szCs w:val="21"/>
            </w:rPr>
            <w:t>二、 质量安全</w:t>
          </w:r>
          <w:r>
            <w:tab/>
          </w:r>
          <w:r>
            <w:fldChar w:fldCharType="begin"/>
          </w:r>
          <w:r>
            <w:instrText xml:space="preserve"> PAGEREF _Toc7328 </w:instrText>
          </w:r>
          <w:r>
            <w:fldChar w:fldCharType="separate"/>
          </w:r>
          <w:r>
            <w:t>14</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_Toc13294 </w:instrText>
          </w:r>
          <w:r>
            <w:rPr>
              <w:rFonts w:hint="eastAsia" w:ascii="黑体" w:hAnsi="黑体" w:eastAsia="黑体" w:cs="黑体"/>
              <w:bCs/>
              <w:szCs w:val="40"/>
              <w:lang w:val="zh-CN"/>
            </w:rPr>
            <w:fldChar w:fldCharType="separate"/>
          </w:r>
          <w:r>
            <w:rPr>
              <w:rFonts w:hint="eastAsia" w:hAnsi="宋体"/>
              <w:szCs w:val="21"/>
            </w:rPr>
            <w:t>三、 员工权益</w:t>
          </w:r>
          <w:r>
            <w:tab/>
          </w:r>
          <w:r>
            <w:fldChar w:fldCharType="begin"/>
          </w:r>
          <w:r>
            <w:instrText xml:space="preserve"> PAGEREF _Toc13294 </w:instrText>
          </w:r>
          <w:r>
            <w:fldChar w:fldCharType="separate"/>
          </w:r>
          <w:r>
            <w:t>15</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_Toc18215 </w:instrText>
          </w:r>
          <w:r>
            <w:rPr>
              <w:rFonts w:hint="eastAsia" w:ascii="黑体" w:hAnsi="黑体" w:eastAsia="黑体" w:cs="黑体"/>
              <w:bCs/>
              <w:szCs w:val="40"/>
              <w:lang w:val="zh-CN"/>
            </w:rPr>
            <w:fldChar w:fldCharType="separate"/>
          </w:r>
          <w:r>
            <w:rPr>
              <w:rFonts w:hint="eastAsia" w:hAnsi="宋体"/>
            </w:rPr>
            <w:t>四、 公益支持</w:t>
          </w:r>
          <w:r>
            <w:tab/>
          </w:r>
          <w:r>
            <w:fldChar w:fldCharType="begin"/>
          </w:r>
          <w:r>
            <w:instrText xml:space="preserve"> PAGEREF _Toc18215 </w:instrText>
          </w:r>
          <w:r>
            <w:fldChar w:fldCharType="separate"/>
          </w:r>
          <w:r>
            <w:t>16</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_Toc9984 </w:instrText>
          </w:r>
          <w:r>
            <w:rPr>
              <w:rFonts w:hint="eastAsia" w:ascii="黑体" w:hAnsi="黑体" w:eastAsia="黑体" w:cs="黑体"/>
              <w:bCs/>
              <w:szCs w:val="40"/>
              <w:lang w:val="zh-CN"/>
            </w:rPr>
            <w:fldChar w:fldCharType="separate"/>
          </w:r>
          <w:r>
            <w:rPr>
              <w:rFonts w:hint="eastAsia" w:hAnsi="宋体"/>
            </w:rPr>
            <w:t>五、 社会荣誉</w:t>
          </w:r>
          <w:r>
            <w:tab/>
          </w:r>
          <w:r>
            <w:fldChar w:fldCharType="begin"/>
          </w:r>
          <w:r>
            <w:instrText xml:space="preserve"> PAGEREF _Toc9984 </w:instrText>
          </w:r>
          <w:r>
            <w:fldChar w:fldCharType="separate"/>
          </w:r>
          <w:r>
            <w:t>17</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_Toc3101 </w:instrText>
          </w:r>
          <w:r>
            <w:rPr>
              <w:rFonts w:hint="eastAsia" w:ascii="黑体" w:hAnsi="黑体" w:eastAsia="黑体" w:cs="黑体"/>
              <w:bCs/>
              <w:szCs w:val="40"/>
              <w:lang w:val="zh-CN"/>
            </w:rPr>
            <w:fldChar w:fldCharType="separate"/>
          </w:r>
          <w:r>
            <w:rPr>
              <w:rFonts w:hint="eastAsia"/>
            </w:rPr>
            <w:t>四、安全环境责任</w:t>
          </w:r>
          <w:r>
            <w:tab/>
          </w:r>
          <w:r>
            <w:fldChar w:fldCharType="begin"/>
          </w:r>
          <w:r>
            <w:instrText xml:space="preserve"> PAGEREF _Toc3101 </w:instrText>
          </w:r>
          <w:r>
            <w:fldChar w:fldCharType="separate"/>
          </w:r>
          <w:r>
            <w:t>17</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_Toc6972 </w:instrText>
          </w:r>
          <w:r>
            <w:rPr>
              <w:rFonts w:hint="eastAsia" w:ascii="黑体" w:hAnsi="黑体" w:eastAsia="黑体" w:cs="黑体"/>
              <w:bCs/>
              <w:szCs w:val="40"/>
              <w:lang w:val="zh-CN"/>
            </w:rPr>
            <w:fldChar w:fldCharType="separate"/>
          </w:r>
          <w:r>
            <w:rPr>
              <w:rFonts w:hint="eastAsia" w:cs="宋体" w:asciiTheme="minorEastAsia" w:hAnsiTheme="minorEastAsia"/>
            </w:rPr>
            <w:t>一、 环境保护</w:t>
          </w:r>
          <w:r>
            <w:tab/>
          </w:r>
          <w:r>
            <w:fldChar w:fldCharType="begin"/>
          </w:r>
          <w:r>
            <w:instrText xml:space="preserve"> PAGEREF _Toc6972 </w:instrText>
          </w:r>
          <w:r>
            <w:fldChar w:fldCharType="separate"/>
          </w:r>
          <w:r>
            <w:t>17</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_Toc3371 </w:instrText>
          </w:r>
          <w:r>
            <w:rPr>
              <w:rFonts w:hint="eastAsia" w:ascii="黑体" w:hAnsi="黑体" w:eastAsia="黑体" w:cs="黑体"/>
              <w:bCs/>
              <w:szCs w:val="40"/>
              <w:lang w:val="zh-CN"/>
            </w:rPr>
            <w:fldChar w:fldCharType="separate"/>
          </w:r>
          <w:r>
            <w:rPr>
              <w:rFonts w:hint="eastAsia" w:cs="宋体" w:asciiTheme="minorEastAsia" w:hAnsiTheme="minorEastAsia"/>
            </w:rPr>
            <w:t>二、 节约资源</w:t>
          </w:r>
          <w:r>
            <w:tab/>
          </w:r>
          <w:r>
            <w:fldChar w:fldCharType="begin"/>
          </w:r>
          <w:r>
            <w:instrText xml:space="preserve"> PAGEREF _Toc3371 </w:instrText>
          </w:r>
          <w:r>
            <w:fldChar w:fldCharType="separate"/>
          </w:r>
          <w:r>
            <w:t>18</w:t>
          </w:r>
          <w:r>
            <w:fldChar w:fldCharType="end"/>
          </w:r>
          <w:r>
            <w:rPr>
              <w:rFonts w:hint="eastAsia" w:ascii="黑体" w:hAnsi="黑体" w:eastAsia="黑体" w:cs="黑体"/>
              <w:bCs/>
              <w:szCs w:val="40"/>
              <w:lang w:val="zh-CN"/>
            </w:rPr>
            <w:fldChar w:fldCharType="end"/>
          </w:r>
        </w:p>
        <w:p>
          <w:pPr>
            <w:pStyle w:val="21"/>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_Toc2410 </w:instrText>
          </w:r>
          <w:r>
            <w:rPr>
              <w:rFonts w:hint="eastAsia" w:ascii="黑体" w:hAnsi="黑体" w:eastAsia="黑体" w:cs="黑体"/>
              <w:bCs/>
              <w:szCs w:val="40"/>
              <w:lang w:val="zh-CN"/>
            </w:rPr>
            <w:fldChar w:fldCharType="separate"/>
          </w:r>
          <w:r>
            <w:rPr>
              <w:rFonts w:hint="eastAsia" w:cs="宋体" w:asciiTheme="minorEastAsia" w:hAnsiTheme="minorEastAsia"/>
            </w:rPr>
            <w:t>三、 健康与安全管理</w:t>
          </w:r>
          <w:r>
            <w:tab/>
          </w:r>
          <w:r>
            <w:fldChar w:fldCharType="begin"/>
          </w:r>
          <w:r>
            <w:instrText xml:space="preserve"> PAGEREF _Toc2410 </w:instrText>
          </w:r>
          <w:r>
            <w:fldChar w:fldCharType="separate"/>
          </w:r>
          <w:r>
            <w:t>18</w:t>
          </w:r>
          <w:r>
            <w:fldChar w:fldCharType="end"/>
          </w:r>
          <w:r>
            <w:rPr>
              <w:rFonts w:hint="eastAsia" w:ascii="黑体" w:hAnsi="黑体" w:eastAsia="黑体" w:cs="黑体"/>
              <w:bCs/>
              <w:szCs w:val="40"/>
              <w:lang w:val="zh-CN"/>
            </w:rPr>
            <w:fldChar w:fldCharType="end"/>
          </w:r>
        </w:p>
        <w:p>
          <w:pPr>
            <w:pStyle w:val="19"/>
            <w:keepNext w:val="0"/>
            <w:keepLines w:val="0"/>
            <w:pageBreakBefore w:val="0"/>
            <w:widowControl/>
            <w:tabs>
              <w:tab w:val="right" w:leader="dot" w:pos="9746"/>
            </w:tabs>
            <w:kinsoku/>
            <w:wordWrap/>
            <w:overflowPunct/>
            <w:topLinePunct w:val="0"/>
            <w:autoSpaceDE/>
            <w:autoSpaceDN/>
            <w:bidi w:val="0"/>
            <w:adjustRightInd w:val="0"/>
            <w:snapToGrid w:val="0"/>
            <w:spacing w:after="160" w:line="252" w:lineRule="auto"/>
            <w:ind w:right="0" w:rightChars="0" w:firstLine="0" w:firstLineChars="0"/>
            <w:jc w:val="both"/>
            <w:textAlignment w:val="auto"/>
            <w:outlineLvl w:val="9"/>
          </w:pPr>
          <w:r>
            <w:rPr>
              <w:rFonts w:hint="eastAsia" w:ascii="黑体" w:hAnsi="黑体" w:eastAsia="黑体" w:cs="黑体"/>
              <w:bCs/>
              <w:szCs w:val="40"/>
              <w:lang w:val="zh-CN"/>
            </w:rPr>
            <w:fldChar w:fldCharType="begin"/>
          </w:r>
          <w:r>
            <w:rPr>
              <w:rFonts w:hint="eastAsia" w:ascii="黑体" w:hAnsi="黑体" w:eastAsia="黑体" w:cs="黑体"/>
              <w:bCs/>
              <w:szCs w:val="40"/>
              <w:lang w:val="zh-CN"/>
            </w:rPr>
            <w:instrText xml:space="preserve"> HYPERLINK \l _Toc20146 </w:instrText>
          </w:r>
          <w:r>
            <w:rPr>
              <w:rFonts w:hint="eastAsia" w:ascii="黑体" w:hAnsi="黑体" w:eastAsia="黑体" w:cs="黑体"/>
              <w:bCs/>
              <w:szCs w:val="40"/>
              <w:lang w:val="zh-CN"/>
            </w:rPr>
            <w:fldChar w:fldCharType="separate"/>
          </w:r>
          <w:r>
            <w:t>总结与展望</w:t>
          </w:r>
          <w:r>
            <w:tab/>
          </w:r>
          <w:r>
            <w:fldChar w:fldCharType="begin"/>
          </w:r>
          <w:r>
            <w:instrText xml:space="preserve"> PAGEREF _Toc20146 </w:instrText>
          </w:r>
          <w:r>
            <w:fldChar w:fldCharType="separate"/>
          </w:r>
          <w:r>
            <w:t>19</w:t>
          </w:r>
          <w:r>
            <w:fldChar w:fldCharType="end"/>
          </w:r>
          <w:r>
            <w:rPr>
              <w:rFonts w:hint="eastAsia" w:ascii="黑体" w:hAnsi="黑体" w:eastAsia="黑体" w:cs="黑体"/>
              <w:bCs/>
              <w:szCs w:val="40"/>
              <w:lang w:val="zh-CN"/>
            </w:rPr>
            <w:fldChar w:fldCharType="end"/>
          </w:r>
        </w:p>
        <w:p>
          <w:pPr>
            <w:rPr>
              <w:rFonts w:ascii="宋体" w:cs="宋体"/>
              <w:sz w:val="26"/>
              <w:szCs w:val="26"/>
            </w:rPr>
            <w:sectPr>
              <w:footerReference r:id="rId7" w:type="default"/>
              <w:pgSz w:w="11906" w:h="16838"/>
              <w:pgMar w:top="1440" w:right="1080" w:bottom="1440" w:left="1080" w:header="851" w:footer="992" w:gutter="0"/>
              <w:cols w:space="425" w:num="1"/>
              <w:docGrid w:type="lines" w:linePitch="312" w:charSpace="0"/>
            </w:sectPr>
          </w:pPr>
          <w:r>
            <w:rPr>
              <w:rFonts w:hint="eastAsia" w:ascii="黑体" w:hAnsi="黑体" w:eastAsia="黑体" w:cs="黑体"/>
              <w:bCs/>
              <w:szCs w:val="40"/>
              <w:lang w:val="zh-CN"/>
            </w:rPr>
            <w:fldChar w:fldCharType="end"/>
          </w:r>
        </w:p>
      </w:sdtContent>
    </w:sdt>
    <w:p>
      <w:pPr>
        <w:pStyle w:val="4"/>
        <w:spacing w:after="240"/>
        <w:jc w:val="center"/>
      </w:pPr>
      <w:bookmarkStart w:id="1" w:name="_Toc32110"/>
      <w:bookmarkStart w:id="2" w:name="_Hlk8482454"/>
      <w:r>
        <w:rPr>
          <w:rFonts w:hint="eastAsia"/>
        </w:rPr>
        <w:t>前言</w:t>
      </w:r>
      <w:bookmarkEnd w:id="1"/>
    </w:p>
    <w:p>
      <w:pPr>
        <w:ind w:firstLine="480" w:firstLineChars="200"/>
        <w:rPr>
          <w:rFonts w:ascii="宋体" w:hAnsi="宋体" w:cs="宋体"/>
          <w:color w:val="000000"/>
          <w:sz w:val="24"/>
          <w:szCs w:val="24"/>
        </w:rPr>
      </w:pPr>
      <w:r>
        <w:rPr>
          <w:rFonts w:hint="eastAsia" w:ascii="宋体" w:hAnsi="宋体" w:cs="宋体"/>
          <w:color w:val="000000"/>
          <w:sz w:val="24"/>
          <w:szCs w:val="24"/>
        </w:rPr>
        <w:t>本报告为</w:t>
      </w:r>
      <w:r>
        <w:rPr>
          <w:rFonts w:hint="eastAsia" w:ascii="宋体" w:hAnsi="宋体" w:cs="宋体"/>
          <w:color w:val="000000"/>
          <w:sz w:val="24"/>
          <w:szCs w:val="24"/>
          <w:lang w:eastAsia="zh-CN"/>
        </w:rPr>
        <w:t>钱江集团温岭正峰动力有限公司</w:t>
      </w:r>
      <w:r>
        <w:rPr>
          <w:rFonts w:hint="eastAsia" w:ascii="宋体" w:hAnsi="宋体" w:cs="宋体"/>
          <w:color w:val="000000"/>
          <w:sz w:val="24"/>
          <w:szCs w:val="24"/>
        </w:rPr>
        <w:t xml:space="preserve"> （以下简称为“本公司”或“公司”）首次公开发布的《社会责任报告》。本公司保证报告中所载资料不存在任何虚假记载、误导性陈述，并对其内容的真实性、准确性承担责任。</w:t>
      </w:r>
      <w:bookmarkEnd w:id="2"/>
    </w:p>
    <w:p>
      <w:pPr>
        <w:ind w:firstLine="480" w:firstLineChars="200"/>
        <w:rPr>
          <w:rFonts w:ascii="黑体" w:eastAsia="黑体" w:cs="黑体"/>
          <w:color w:val="000000"/>
          <w:sz w:val="24"/>
          <w:szCs w:val="24"/>
        </w:rPr>
      </w:pPr>
      <w:r>
        <w:rPr>
          <w:rFonts w:hint="eastAsia" w:ascii="黑体" w:eastAsia="黑体" w:cs="黑体"/>
          <w:color w:val="000000"/>
          <w:sz w:val="24"/>
          <w:szCs w:val="24"/>
        </w:rPr>
        <w:t>报告范围：</w:t>
      </w:r>
    </w:p>
    <w:p>
      <w:pPr>
        <w:ind w:firstLine="480" w:firstLineChars="200"/>
        <w:rPr>
          <w:rFonts w:ascii="宋体" w:hAnsi="宋体" w:cs="宋体"/>
          <w:color w:val="000000"/>
          <w:sz w:val="24"/>
          <w:szCs w:val="24"/>
        </w:rPr>
      </w:pPr>
      <w:r>
        <w:rPr>
          <w:rFonts w:hint="eastAsia" w:ascii="宋体" w:hAnsi="宋体" w:cs="宋体"/>
          <w:color w:val="000000"/>
          <w:sz w:val="24"/>
          <w:szCs w:val="24"/>
        </w:rPr>
        <w:t>本报告的组织范围为</w:t>
      </w:r>
      <w:r>
        <w:rPr>
          <w:rFonts w:hint="eastAsia" w:ascii="宋体" w:hAnsi="宋体" w:cs="宋体"/>
          <w:color w:val="000000"/>
          <w:sz w:val="24"/>
          <w:szCs w:val="24"/>
          <w:lang w:eastAsia="zh-CN"/>
        </w:rPr>
        <w:t>钱江集团温岭正峰动力有限公司</w:t>
      </w:r>
      <w:r>
        <w:rPr>
          <w:rFonts w:hint="eastAsia" w:ascii="宋体" w:hAnsi="宋体" w:cs="宋体"/>
          <w:color w:val="000000"/>
          <w:sz w:val="24"/>
          <w:szCs w:val="24"/>
        </w:rPr>
        <w:t xml:space="preserve"> 。本报告描述了202</w:t>
      </w:r>
      <w:r>
        <w:rPr>
          <w:rFonts w:hint="eastAsia" w:ascii="宋体" w:hAnsi="宋体" w:eastAsia="宋体" w:cs="宋体"/>
          <w:color w:val="000000"/>
          <w:sz w:val="24"/>
          <w:szCs w:val="24"/>
          <w:lang w:val="en-US" w:eastAsia="zh-CN"/>
        </w:rPr>
        <w:t>3</w:t>
      </w:r>
      <w:r>
        <w:rPr>
          <w:rFonts w:hint="eastAsia" w:ascii="宋体" w:hAnsi="宋体" w:cs="宋体"/>
          <w:color w:val="000000"/>
          <w:sz w:val="24"/>
          <w:szCs w:val="24"/>
        </w:rPr>
        <w:t>年1月1日至 12月31日期间，公司在经济责任、社会责任、环境责任等方面的理念、制度、采取的措施和取得的绩效等。</w:t>
      </w:r>
    </w:p>
    <w:p>
      <w:pPr>
        <w:ind w:firstLine="480" w:firstLineChars="200"/>
        <w:rPr>
          <w:rFonts w:ascii="宋体" w:hAnsi="宋体" w:cs="宋体"/>
          <w:color w:val="000000"/>
          <w:sz w:val="24"/>
          <w:szCs w:val="24"/>
        </w:rPr>
      </w:pPr>
      <w:r>
        <w:rPr>
          <w:rFonts w:hint="eastAsia" w:ascii="黑体" w:eastAsia="黑体" w:cs="黑体"/>
          <w:color w:val="000000"/>
          <w:sz w:val="24"/>
          <w:szCs w:val="24"/>
        </w:rPr>
        <w:t>报告发布形式</w:t>
      </w:r>
      <w:r>
        <w:rPr>
          <w:rFonts w:hint="eastAsia" w:ascii="宋体" w:hAnsi="宋体" w:cs="宋体"/>
          <w:color w:val="000000"/>
          <w:sz w:val="24"/>
          <w:szCs w:val="24"/>
        </w:rPr>
        <w:t xml:space="preserve">： </w:t>
      </w:r>
    </w:p>
    <w:p>
      <w:pPr>
        <w:ind w:firstLine="480" w:firstLineChars="200"/>
        <w:rPr>
          <w:rFonts w:ascii="宋体" w:hAnsi="宋体" w:cs="宋体"/>
          <w:color w:val="000000"/>
          <w:sz w:val="24"/>
          <w:szCs w:val="24"/>
        </w:rPr>
        <w:sectPr>
          <w:footerReference r:id="rId8" w:type="default"/>
          <w:pgSz w:w="11906" w:h="16838"/>
          <w:pgMar w:top="1440" w:right="1080" w:bottom="1440" w:left="1080" w:header="851" w:footer="992" w:gutter="0"/>
          <w:cols w:space="425" w:num="1"/>
          <w:docGrid w:type="lines" w:linePitch="312" w:charSpace="0"/>
        </w:sectPr>
      </w:pPr>
      <w:r>
        <w:rPr>
          <w:rFonts w:hint="eastAsia" w:ascii="宋体" w:hAnsi="宋体" w:cs="宋体"/>
          <w:color w:val="000000"/>
          <w:sz w:val="24"/>
          <w:szCs w:val="24"/>
        </w:rPr>
        <w:t>本公司一至二年定期发布一次社会责任报告，本报告以PDF电子文档形式在本公司网站向社会公布，欢迎下载阅读并提出宝贵意见。</w:t>
      </w:r>
    </w:p>
    <w:p>
      <w:pPr>
        <w:pStyle w:val="4"/>
        <w:spacing w:after="240"/>
        <w:jc w:val="center"/>
      </w:pPr>
      <w:bookmarkStart w:id="3" w:name="_Toc30412"/>
      <w:r>
        <w:rPr>
          <w:rFonts w:hint="eastAsia"/>
        </w:rPr>
        <w:t>一、企业简介</w:t>
      </w:r>
      <w:bookmarkEnd w:id="3"/>
    </w:p>
    <w:p>
      <w:pPr>
        <w:pStyle w:val="91"/>
        <w:rPr>
          <w:rFonts w:hint="eastAsia"/>
          <w:color w:val="auto"/>
          <w:lang w:eastAsia="zh-CN"/>
        </w:rPr>
      </w:pPr>
      <w:bookmarkStart w:id="4" w:name="_Toc528402783"/>
      <w:r>
        <w:rPr>
          <w:rFonts w:hint="eastAsia"/>
          <w:color w:val="auto"/>
          <w:lang w:eastAsia="zh-CN"/>
        </w:rPr>
        <w:t>钱江集团温岭正峰动力有限公司（以下简称公司或正峰），公司成立于2003年，地处台州市温岭市，交通便利。公司精神的基础是以人为本，以科学发展观为指导，立足于社会经济发展、实现人生目标，致力于先富带动后富，承担社会责任改善区域民生。并在企业的发展过程中不断地凝练、升华，能够使员工最大程度上地激发自身潜能、发挥创造力和主观能动性，与企业互利共生、携手并进，从而提高企业的向心力和凝聚力。</w:t>
      </w:r>
    </w:p>
    <w:p>
      <w:pPr>
        <w:pStyle w:val="91"/>
        <w:rPr>
          <w:rFonts w:hint="eastAsia"/>
          <w:color w:val="auto"/>
          <w:lang w:eastAsia="zh-CN"/>
        </w:rPr>
      </w:pPr>
      <w:r>
        <w:rPr>
          <w:rFonts w:hint="eastAsia"/>
          <w:color w:val="auto"/>
          <w:lang w:eastAsia="zh-CN"/>
        </w:rPr>
        <w:t>优秀的技术创新能力、强大的生产能力和及时发现并满足客户潜在、现实需求的能力为公司三大核心竞争力。而支撑这三大能力的基础则是公司拥有一批优秀的技术、管理和销售人才。企业拥有一支经验丰富的专业技术人员、管理人员、营销人员。从设计、生产、管控、销售及售后服务都有一套成熟有效的管理制度，产品质量得到了有效的管控，产品品种及销售量逐年提高，在国内外建立了良好的信誉，奠定了在行业的重要地位。并多次获得台州市人民政府的嘉奖。</w:t>
      </w:r>
    </w:p>
    <w:p>
      <w:pPr>
        <w:pStyle w:val="91"/>
        <w:rPr>
          <w:rFonts w:hint="eastAsia"/>
          <w:color w:val="auto"/>
          <w:lang w:eastAsia="zh-CN"/>
        </w:rPr>
      </w:pPr>
      <w:r>
        <w:rPr>
          <w:rFonts w:hint="eastAsia"/>
          <w:color w:val="auto"/>
          <w:lang w:eastAsia="zh-CN"/>
        </w:rPr>
        <w:t>公司集自主设计、开发及生产一体化，主导产品为：园林机械及配件、农林机械及配件、电动工具及配件、热水器及配件、水泵及配件、电动自行车及配件、汽油机自行车及配件、发电机及配件、电动滑板车及配件、汽油机滑板车及配件、空压机及配件、高压水枪及配件、内燃机及配件、暖风机及配件、童车及配件、沙滩车及配件、卡丁车及配件、越野车及配件、场地赛车及配件、越野赛车及配件、汽车用品的制造等一系列产品。产品出口多个国家和地区及行销国内各省市。公司设立了专业品质管控队伍，同时还建立产品性能检测室，严格控制生产过程中每一道工序的质量。并通过了ISO9001质量管理体系</w:t>
      </w:r>
      <w:r>
        <w:rPr>
          <w:rFonts w:hint="default"/>
          <w:color w:val="auto"/>
          <w:lang w:eastAsia="zh-CN"/>
        </w:rPr>
        <w:t>，</w:t>
      </w:r>
      <w:r>
        <w:rPr>
          <w:rFonts w:hint="eastAsia"/>
          <w:color w:val="auto"/>
          <w:lang w:eastAsia="zh-CN"/>
        </w:rPr>
        <w:t xml:space="preserve">ISO14001环境管理体系和ISO45001职业健康安全管理体系认证。 </w:t>
      </w:r>
    </w:p>
    <w:p>
      <w:pPr>
        <w:pStyle w:val="91"/>
        <w:rPr>
          <w:rFonts w:hint="default" w:ascii="宋体" w:hAnsi="宋体" w:cs="宋体"/>
          <w:color w:val="000000"/>
          <w:kern w:val="0"/>
          <w:sz w:val="24"/>
        </w:rPr>
      </w:pPr>
      <w:r>
        <w:rPr>
          <w:rFonts w:hint="eastAsia"/>
          <w:color w:val="auto"/>
          <w:lang w:eastAsia="zh-CN"/>
        </w:rPr>
        <w:t>正峰以缔造行业细分领域的隐形冠军为愿景，以诚信、严谨、创新、卓越为核心价值观，以成为客户紧密合作的战略伙伴，让客户享受高科技、新技术的美好生活为使命, 公司秉承“顾客至上，锐意进缺的经营理念，坚持“客户”的原则为广大客户提供优质的服务。</w:t>
      </w:r>
    </w:p>
    <w:p>
      <w:pPr>
        <w:widowControl/>
        <w:spacing w:line="360" w:lineRule="auto"/>
        <w:ind w:firstLine="420" w:firstLineChars="200"/>
        <w:jc w:val="center"/>
        <w:rPr>
          <w:rFonts w:hint="eastAsia"/>
          <w:b/>
          <w:bCs/>
          <w:sz w:val="21"/>
          <w:szCs w:val="21"/>
        </w:rPr>
      </w:pPr>
      <w:r>
        <w:rPr>
          <w:rFonts w:hint="eastAsia"/>
          <w:b/>
          <w:bCs/>
          <w:sz w:val="21"/>
          <w:szCs w:val="21"/>
        </w:rPr>
        <w:t>产品介绍</w:t>
      </w:r>
    </w:p>
    <w:p>
      <w:pPr>
        <w:tabs>
          <w:tab w:val="left" w:pos="3654"/>
        </w:tabs>
        <w:adjustRightInd w:val="0"/>
        <w:snapToGrid w:val="0"/>
        <w:spacing w:line="240" w:lineRule="auto"/>
        <w:jc w:val="center"/>
        <w:rPr>
          <w:rFonts w:hint="default" w:ascii="宋体" w:hAnsi="宋体" w:cs="宋体"/>
          <w:b/>
          <w:bCs/>
          <w:snapToGrid w:val="0"/>
          <w:szCs w:val="21"/>
          <w:lang w:val="en-US" w:eastAsia="zh-CN"/>
        </w:rPr>
      </w:pPr>
      <w:bookmarkStart w:id="5" w:name="_Hlk59522777"/>
    </w:p>
    <w:p>
      <w:pPr>
        <w:pStyle w:val="91"/>
        <w:rPr>
          <w:rFonts w:hint="eastAsia"/>
          <w:color w:val="auto"/>
        </w:rPr>
      </w:pPr>
      <w:r>
        <w:rPr>
          <w:rFonts w:hint="eastAsia" w:cs="宋体"/>
          <w:color w:val="000000"/>
          <w:kern w:val="0"/>
          <w:sz w:val="24"/>
          <w:lang w:eastAsia="zh-CN"/>
        </w:rPr>
        <w:t>正峰</w:t>
      </w:r>
      <w:r>
        <w:rPr>
          <w:rFonts w:hint="eastAsia" w:ascii="宋体" w:hAnsi="宋体" w:cs="宋体"/>
          <w:color w:val="000000"/>
          <w:kern w:val="0"/>
          <w:sz w:val="24"/>
          <w:lang w:eastAsia="zh-CN"/>
        </w:rPr>
        <w:t>依托强大的研发力量，根据市场需求，</w:t>
      </w:r>
      <w:r>
        <w:rPr>
          <w:rFonts w:hint="eastAsia"/>
          <w:color w:val="auto"/>
        </w:rPr>
        <w:t>结合公司的战略及自身优势，确定产品定位、识别顾客和市场需求，不断创新，开发各种产品，满足不同类型的顾客和市场。</w:t>
      </w:r>
    </w:p>
    <w:p>
      <w:pPr>
        <w:pStyle w:val="91"/>
        <w:rPr>
          <w:rFonts w:hint="eastAsia" w:ascii="宋体" w:hAnsi="宋体" w:cs="宋体"/>
          <w:color w:val="000000"/>
          <w:kern w:val="0"/>
          <w:sz w:val="24"/>
          <w:lang w:eastAsia="zh-CN"/>
        </w:rPr>
      </w:pPr>
      <w:r>
        <w:rPr>
          <w:rFonts w:hint="eastAsia" w:ascii="宋体" w:hAnsi="宋体" w:cs="宋体"/>
          <w:color w:val="000000"/>
          <w:kern w:val="0"/>
          <w:sz w:val="24"/>
          <w:lang w:val="en-US" w:eastAsia="zh-CN"/>
        </w:rPr>
        <w:t>目前公司主要产品线包括园林机械及配件、农林机械及配件、电动工具及配件、热水器及配件、水泵及配件、电动自行车及配件、汽油机自行车及配件、发电机及配件、电动滑板车及配件、汽油机滑板车及配件、空压机及配件、高压水枪及配件、内燃机及配件、暖风机及配件、童车及配件、沙滩车及配件、卡丁车及配件、越野车及配件、场地赛车及配件、越野赛车及配件、汽车用品的制造等一系列产品。公司产品除畅销国内之外, 还远销欧洲，北美、澳大利亚等三十多个国家和地区</w:t>
      </w:r>
      <w:r>
        <w:rPr>
          <w:rFonts w:hint="eastAsia" w:cs="宋体"/>
          <w:color w:val="000000"/>
          <w:kern w:val="0"/>
          <w:sz w:val="24"/>
          <w:lang w:val="en-US" w:eastAsia="zh-CN"/>
        </w:rPr>
        <w:t>。</w:t>
      </w:r>
    </w:p>
    <w:p>
      <w:pPr>
        <w:ind w:firstLine="480"/>
        <w:jc w:val="center"/>
      </w:pPr>
      <w:r>
        <w:rPr>
          <w:rFonts w:hint="eastAsia"/>
          <w:b/>
          <w:bCs/>
          <w:i w:val="0"/>
          <w:iCs w:val="0"/>
          <w:lang w:val="en-US" w:eastAsia="zh-Hans"/>
        </w:rPr>
        <w:t>公司</w:t>
      </w:r>
      <w:r>
        <w:rPr>
          <w:rFonts w:hint="eastAsia" w:ascii="宋体" w:hAnsi="宋体" w:cs="宋体"/>
          <w:b/>
          <w:bCs/>
          <w:color w:val="000000"/>
          <w:szCs w:val="20"/>
        </w:rPr>
        <w:t>产品</w:t>
      </w:r>
      <w:r>
        <w:rPr>
          <w:rFonts w:hint="eastAsia" w:ascii="宋体" w:hAnsi="宋体" w:cs="宋体"/>
          <w:b/>
          <w:bCs/>
          <w:color w:val="000000"/>
          <w:szCs w:val="20"/>
          <w:lang w:val="en-US" w:eastAsia="zh-CN"/>
        </w:rPr>
        <w:t>展示</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705350" cy="147637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3"/>
                    <a:stretch>
                      <a:fillRect/>
                    </a:stretch>
                  </pic:blipFill>
                  <pic:spPr>
                    <a:xfrm>
                      <a:off x="0" y="0"/>
                      <a:ext cx="4705350" cy="1476375"/>
                    </a:xfrm>
                    <a:prstGeom prst="rect">
                      <a:avLst/>
                    </a:prstGeom>
                    <a:noFill/>
                    <a:ln w="9525">
                      <a:noFill/>
                    </a:ln>
                  </pic:spPr>
                </pic:pic>
              </a:graphicData>
            </a:graphic>
          </wp:inline>
        </w:drawing>
      </w:r>
    </w:p>
    <w:p>
      <w:pPr>
        <w:tabs>
          <w:tab w:val="left" w:pos="3654"/>
        </w:tabs>
        <w:adjustRightInd w:val="0"/>
        <w:snapToGrid w:val="0"/>
        <w:spacing w:line="360" w:lineRule="auto"/>
        <w:jc w:val="center"/>
      </w:pPr>
      <w:r>
        <w:rPr>
          <w:rFonts w:ascii="宋体" w:hAnsi="宋体" w:eastAsia="宋体" w:cs="宋体"/>
          <w:kern w:val="0"/>
          <w:sz w:val="24"/>
          <w:szCs w:val="24"/>
          <w:lang w:val="en-US" w:eastAsia="zh-CN" w:bidi="ar"/>
        </w:rPr>
        <w:drawing>
          <wp:inline distT="0" distB="0" distL="114300" distR="114300">
            <wp:extent cx="4276725" cy="1476375"/>
            <wp:effectExtent l="0" t="0" r="9525" b="952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4"/>
                    <a:stretch>
                      <a:fillRect/>
                    </a:stretch>
                  </pic:blipFill>
                  <pic:spPr>
                    <a:xfrm>
                      <a:off x="0" y="0"/>
                      <a:ext cx="4276725" cy="1476375"/>
                    </a:xfrm>
                    <a:prstGeom prst="rect">
                      <a:avLst/>
                    </a:prstGeom>
                    <a:noFill/>
                    <a:ln w="9525">
                      <a:noFill/>
                    </a:ln>
                  </pic:spPr>
                </pic:pic>
              </a:graphicData>
            </a:graphic>
          </wp:inline>
        </w:drawing>
      </w:r>
    </w:p>
    <w:bookmarkEnd w:id="5"/>
    <w:p>
      <w:pPr>
        <w:spacing w:line="276" w:lineRule="auto"/>
        <w:ind w:firstLine="480" w:firstLineChars="200"/>
        <w:rPr>
          <w:rFonts w:hint="eastAsia" w:ascii="Times New Roman" w:hAnsi="Times New Roman"/>
          <w:sz w:val="24"/>
          <w:szCs w:val="24"/>
          <w:lang w:val="en-US" w:eastAsia="zh-CN"/>
        </w:rPr>
      </w:pPr>
      <w:r>
        <w:rPr>
          <w:rFonts w:hint="eastAsia" w:ascii="Times New Roman" w:hAnsi="Times New Roman"/>
          <w:sz w:val="24"/>
          <w:szCs w:val="24"/>
          <w:lang w:eastAsia="zh-CN"/>
        </w:rPr>
        <w:t>公司结合自身实际，建立了完善的质量管理体系，贯彻以原料稳定、工艺稳定、操作稳定最终确保质量稳定的</w:t>
      </w:r>
      <w:r>
        <w:rPr>
          <w:rFonts w:hint="eastAsia" w:ascii="宋体" w:hAnsi="宋体"/>
          <w:sz w:val="24"/>
          <w:lang w:val="en-US" w:eastAsia="zh-CN"/>
        </w:rPr>
        <w:t>方针。公司配备了</w:t>
      </w:r>
      <w:r>
        <w:rPr>
          <w:rFonts w:hint="default" w:ascii="宋体" w:hAnsi="宋体"/>
          <w:sz w:val="24"/>
          <w:lang w:eastAsia="zh-CN"/>
        </w:rPr>
        <w:t>发动机排放测量分析系统</w:t>
      </w:r>
      <w:r>
        <w:rPr>
          <w:rFonts w:hint="eastAsia" w:ascii="宋体" w:hAnsi="宋体"/>
          <w:sz w:val="24"/>
          <w:lang w:val="en-US" w:eastAsia="zh-CN"/>
        </w:rPr>
        <w:t>、</w:t>
      </w:r>
      <w:r>
        <w:rPr>
          <w:rFonts w:hint="default" w:ascii="宋体" w:hAnsi="宋体"/>
          <w:sz w:val="24"/>
          <w:lang w:eastAsia="zh-CN"/>
        </w:rPr>
        <w:t>发动机排放稀释取样系统</w:t>
      </w:r>
      <w:r>
        <w:rPr>
          <w:rFonts w:hint="eastAsia" w:ascii="宋体" w:hAnsi="宋体"/>
          <w:sz w:val="24"/>
          <w:lang w:val="en-US" w:eastAsia="zh-CN"/>
        </w:rPr>
        <w:t>、</w:t>
      </w:r>
      <w:r>
        <w:rPr>
          <w:rFonts w:hint="default" w:ascii="宋体" w:hAnsi="宋体"/>
          <w:sz w:val="24"/>
          <w:lang w:eastAsia="zh-CN"/>
        </w:rPr>
        <w:t>能量色散X荧光仪</w:t>
      </w:r>
      <w:r>
        <w:rPr>
          <w:rFonts w:hint="eastAsia" w:ascii="宋体" w:hAnsi="宋体"/>
          <w:sz w:val="24"/>
          <w:lang w:val="en-US" w:eastAsia="zh-CN"/>
        </w:rPr>
        <w:t>、</w:t>
      </w:r>
      <w:r>
        <w:rPr>
          <w:rFonts w:hint="default" w:ascii="宋体" w:hAnsi="宋体"/>
          <w:sz w:val="24"/>
          <w:lang w:eastAsia="zh-CN"/>
        </w:rPr>
        <w:t>交流测攻机</w:t>
      </w:r>
      <w:r>
        <w:rPr>
          <w:rFonts w:hint="eastAsia" w:ascii="宋体" w:hAnsi="宋体"/>
          <w:sz w:val="24"/>
          <w:lang w:val="en-US" w:eastAsia="zh-CN"/>
        </w:rPr>
        <w:t>、</w:t>
      </w:r>
      <w:r>
        <w:rPr>
          <w:rFonts w:hint="default" w:ascii="宋体" w:hAnsi="宋体"/>
          <w:sz w:val="24"/>
          <w:lang w:eastAsia="zh-CN"/>
        </w:rPr>
        <w:t>测功机</w:t>
      </w:r>
      <w:r>
        <w:rPr>
          <w:rFonts w:hint="eastAsia" w:ascii="宋体" w:hAnsi="宋体"/>
          <w:sz w:val="24"/>
          <w:lang w:val="en-US" w:eastAsia="zh-CN"/>
        </w:rPr>
        <w:t>、</w:t>
      </w:r>
      <w:r>
        <w:rPr>
          <w:rFonts w:hint="default" w:ascii="宋体" w:hAnsi="宋体"/>
          <w:sz w:val="24"/>
          <w:lang w:eastAsia="zh-CN"/>
        </w:rPr>
        <w:t>万能试验机</w:t>
      </w:r>
      <w:r>
        <w:rPr>
          <w:rFonts w:hint="eastAsia" w:ascii="宋体" w:hAnsi="宋体"/>
          <w:sz w:val="24"/>
          <w:lang w:val="en-US" w:eastAsia="zh-CN"/>
        </w:rPr>
        <w:t>、</w:t>
      </w:r>
      <w:r>
        <w:rPr>
          <w:rFonts w:hint="default" w:ascii="宋体" w:hAnsi="宋体"/>
          <w:sz w:val="24"/>
          <w:lang w:eastAsia="zh-CN"/>
        </w:rPr>
        <w:t>尾气分析仪</w:t>
      </w:r>
      <w:r>
        <w:rPr>
          <w:rFonts w:hint="eastAsia" w:ascii="宋体" w:hAnsi="宋体"/>
          <w:sz w:val="24"/>
          <w:lang w:val="en-US" w:eastAsia="zh-CN"/>
        </w:rPr>
        <w:t>、</w:t>
      </w:r>
      <w:r>
        <w:rPr>
          <w:rFonts w:hint="default" w:ascii="宋体" w:hAnsi="宋体"/>
          <w:sz w:val="24"/>
          <w:lang w:eastAsia="zh-CN"/>
        </w:rPr>
        <w:t>密度分析天平测试仪</w:t>
      </w:r>
      <w:r>
        <w:rPr>
          <w:rFonts w:hint="eastAsia" w:ascii="宋体" w:hAnsi="宋体"/>
          <w:sz w:val="24"/>
          <w:lang w:val="en-US" w:eastAsia="zh-CN"/>
        </w:rPr>
        <w:t>、</w:t>
      </w:r>
      <w:r>
        <w:rPr>
          <w:rFonts w:hint="default" w:ascii="宋体" w:hAnsi="宋体"/>
          <w:sz w:val="24"/>
          <w:lang w:eastAsia="zh-CN"/>
        </w:rPr>
        <w:t>盐雾试验箱</w:t>
      </w:r>
      <w:r>
        <w:rPr>
          <w:rFonts w:hint="eastAsia" w:ascii="宋体" w:hAnsi="宋体"/>
          <w:sz w:val="24"/>
          <w:lang w:val="en-US" w:eastAsia="zh-CN"/>
        </w:rPr>
        <w:t>等必要的</w:t>
      </w:r>
      <w:r>
        <w:rPr>
          <w:rFonts w:hint="eastAsia" w:ascii="宋体" w:hAnsi="宋体"/>
          <w:sz w:val="24"/>
        </w:rPr>
        <w:t>生产设备</w:t>
      </w:r>
      <w:r>
        <w:rPr>
          <w:rFonts w:hint="eastAsia" w:ascii="宋体" w:hAnsi="宋体"/>
          <w:sz w:val="24"/>
          <w:lang w:val="en-US" w:eastAsia="zh-CN"/>
        </w:rPr>
        <w:t>和</w:t>
      </w:r>
      <w:r>
        <w:rPr>
          <w:rFonts w:hint="eastAsia"/>
          <w:color w:val="000000"/>
          <w:sz w:val="24"/>
        </w:rPr>
        <w:t>检测设备</w:t>
      </w:r>
      <w:r>
        <w:rPr>
          <w:rFonts w:hint="eastAsia"/>
          <w:color w:val="000000"/>
          <w:sz w:val="24"/>
          <w:lang w:eastAsia="zh-CN"/>
        </w:rPr>
        <w:t>，</w:t>
      </w:r>
      <w:r>
        <w:rPr>
          <w:rFonts w:hint="eastAsia" w:ascii="Times New Roman" w:hAnsi="Times New Roman"/>
          <w:sz w:val="24"/>
          <w:szCs w:val="24"/>
          <w:lang w:eastAsia="zh-CN"/>
        </w:rPr>
        <w:t>为产品质量以及售后服务提供了</w:t>
      </w:r>
      <w:r>
        <w:rPr>
          <w:rFonts w:hint="eastAsia" w:ascii="Times New Roman" w:hAnsi="Times New Roman"/>
          <w:sz w:val="24"/>
          <w:szCs w:val="24"/>
          <w:lang w:val="en-US" w:eastAsia="zh-CN"/>
        </w:rPr>
        <w:t>有力</w:t>
      </w:r>
      <w:r>
        <w:rPr>
          <w:rFonts w:hint="eastAsia" w:ascii="Times New Roman" w:hAnsi="Times New Roman"/>
          <w:sz w:val="24"/>
          <w:szCs w:val="24"/>
          <w:lang w:eastAsia="zh-CN"/>
        </w:rPr>
        <w:t>保障。</w:t>
      </w:r>
    </w:p>
    <w:p>
      <w:pPr>
        <w:ind w:firstLine="480"/>
        <w:jc w:val="center"/>
      </w:pPr>
      <w:r>
        <w:rPr>
          <w:rFonts w:hint="eastAsia"/>
          <w:b/>
          <w:bCs/>
          <w:color w:val="auto"/>
          <w:lang w:val="en-US" w:eastAsia="zh-Hans"/>
        </w:rPr>
        <w:t>公司荣誉展示</w:t>
      </w:r>
    </w:p>
    <w:p>
      <w:pPr>
        <w:spacing w:line="360" w:lineRule="auto"/>
        <w:jc w:val="center"/>
      </w:pPr>
    </w:p>
    <w:p>
      <w:pPr>
        <w:spacing w:line="360" w:lineRule="auto"/>
        <w:ind w:left="4830" w:hanging="5060" w:hangingChars="2300"/>
        <w:jc w:val="center"/>
        <w:rPr>
          <w:rFonts w:hint="eastAsia" w:eastAsia="宋体"/>
          <w:lang w:eastAsia="zh-CN"/>
        </w:rPr>
      </w:pPr>
      <w:r>
        <w:drawing>
          <wp:inline distT="0" distB="0" distL="114300" distR="114300">
            <wp:extent cx="2391410" cy="1541145"/>
            <wp:effectExtent l="0" t="0" r="889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2391410" cy="1541145"/>
                    </a:xfrm>
                    <a:prstGeom prst="rect">
                      <a:avLst/>
                    </a:prstGeom>
                    <a:noFill/>
                    <a:ln>
                      <a:noFill/>
                    </a:ln>
                  </pic:spPr>
                </pic:pic>
              </a:graphicData>
            </a:graphic>
          </wp:inline>
        </w:drawing>
      </w:r>
      <w:r>
        <w:rPr>
          <w:rFonts w:hint="eastAsia" w:eastAsia="宋体"/>
          <w:lang w:eastAsia="zh-CN"/>
        </w:rPr>
        <w:drawing>
          <wp:inline distT="0" distB="0" distL="114300" distR="114300">
            <wp:extent cx="2294255" cy="1641475"/>
            <wp:effectExtent l="0" t="0" r="1270" b="6350"/>
            <wp:docPr id="6" name="图片 2" descr="dcda7a4d190d6c64f49cfc73270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cda7a4d190d6c64f49cfc732701792"/>
                    <pic:cNvPicPr>
                      <a:picLocks noChangeAspect="1"/>
                    </pic:cNvPicPr>
                  </pic:nvPicPr>
                  <pic:blipFill>
                    <a:blip r:embed="rId16"/>
                    <a:stretch>
                      <a:fillRect/>
                    </a:stretch>
                  </pic:blipFill>
                  <pic:spPr>
                    <a:xfrm>
                      <a:off x="0" y="0"/>
                      <a:ext cx="2294255" cy="1641475"/>
                    </a:xfrm>
                    <a:prstGeom prst="rect">
                      <a:avLst/>
                    </a:prstGeom>
                    <a:noFill/>
                    <a:ln>
                      <a:noFill/>
                    </a:ln>
                  </pic:spPr>
                </pic:pic>
              </a:graphicData>
            </a:graphic>
          </wp:inline>
        </w:drawing>
      </w:r>
    </w:p>
    <w:p>
      <w:pPr>
        <w:spacing w:line="360" w:lineRule="auto"/>
        <w:ind w:left="4830" w:hanging="5060" w:hangingChars="2300"/>
        <w:jc w:val="center"/>
      </w:pPr>
      <w:r>
        <w:drawing>
          <wp:inline distT="0" distB="0" distL="114300" distR="114300">
            <wp:extent cx="2250440" cy="1539240"/>
            <wp:effectExtent l="0" t="0" r="6985" b="38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2250440" cy="1539240"/>
                    </a:xfrm>
                    <a:prstGeom prst="rect">
                      <a:avLst/>
                    </a:prstGeom>
                    <a:noFill/>
                    <a:ln>
                      <a:noFill/>
                    </a:ln>
                  </pic:spPr>
                </pic:pic>
              </a:graphicData>
            </a:graphic>
          </wp:inline>
        </w:drawing>
      </w:r>
      <w:r>
        <w:drawing>
          <wp:inline distT="0" distB="0" distL="114300" distR="114300">
            <wp:extent cx="2112010" cy="1466215"/>
            <wp:effectExtent l="0" t="0" r="2540" b="63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8"/>
                    <a:stretch>
                      <a:fillRect/>
                    </a:stretch>
                  </pic:blipFill>
                  <pic:spPr>
                    <a:xfrm>
                      <a:off x="0" y="0"/>
                      <a:ext cx="2112010" cy="146621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1706880" cy="2155190"/>
            <wp:effectExtent l="0" t="0" r="762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rcRect t="6340" b="4092"/>
                    <a:stretch>
                      <a:fillRect/>
                    </a:stretch>
                  </pic:blipFill>
                  <pic:spPr>
                    <a:xfrm>
                      <a:off x="0" y="0"/>
                      <a:ext cx="1706880" cy="2155190"/>
                    </a:xfrm>
                    <a:prstGeom prst="rect">
                      <a:avLst/>
                    </a:prstGeom>
                    <a:noFill/>
                    <a:ln>
                      <a:noFill/>
                    </a:ln>
                  </pic:spPr>
                </pic:pic>
              </a:graphicData>
            </a:graphic>
          </wp:inline>
        </w:drawing>
      </w:r>
      <w:r>
        <w:drawing>
          <wp:inline distT="0" distB="0" distL="114300" distR="114300">
            <wp:extent cx="2272665" cy="2230755"/>
            <wp:effectExtent l="0" t="0" r="3810" b="762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0"/>
                    <a:stretch>
                      <a:fillRect/>
                    </a:stretch>
                  </pic:blipFill>
                  <pic:spPr>
                    <a:xfrm>
                      <a:off x="0" y="0"/>
                      <a:ext cx="2272665" cy="2230755"/>
                    </a:xfrm>
                    <a:prstGeom prst="rect">
                      <a:avLst/>
                    </a:prstGeom>
                    <a:noFill/>
                    <a:ln>
                      <a:noFill/>
                    </a:ln>
                  </pic:spPr>
                </pic:pic>
              </a:graphicData>
            </a:graphic>
          </wp:inline>
        </w:drawing>
      </w:r>
    </w:p>
    <w:p>
      <w:pPr>
        <w:pStyle w:val="22"/>
        <w:spacing w:before="0" w:beforeAutospacing="0" w:after="0" w:afterAutospacing="0"/>
        <w:jc w:val="center"/>
        <w:sectPr>
          <w:pgSz w:w="11906" w:h="16838"/>
          <w:pgMar w:top="1440" w:right="1080" w:bottom="1440" w:left="1080" w:header="851" w:footer="992" w:gutter="0"/>
          <w:cols w:space="425" w:num="1"/>
          <w:docGrid w:type="lines" w:linePitch="312" w:charSpace="0"/>
        </w:sectPr>
      </w:pPr>
    </w:p>
    <w:p>
      <w:pPr>
        <w:pStyle w:val="4"/>
        <w:spacing w:after="240"/>
        <w:jc w:val="center"/>
      </w:pPr>
      <w:bookmarkStart w:id="6" w:name="_Toc24355"/>
      <w:r>
        <w:rPr>
          <w:rFonts w:hint="eastAsia"/>
        </w:rPr>
        <w:t>二、经济责任</w:t>
      </w:r>
      <w:bookmarkEnd w:id="6"/>
    </w:p>
    <w:p>
      <w:pPr>
        <w:keepNext w:val="0"/>
        <w:keepLines w:val="0"/>
        <w:pageBreakBefore w:val="0"/>
        <w:widowControl/>
        <w:tabs>
          <w:tab w:val="left" w:pos="3654"/>
        </w:tabs>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000000"/>
          <w:sz w:val="21"/>
          <w:szCs w:val="21"/>
        </w:rPr>
      </w:pPr>
      <w:r>
        <w:rPr>
          <w:rFonts w:hint="eastAsia" w:ascii="宋体" w:hAnsi="宋体" w:cs="宋体"/>
          <w:color w:val="000000"/>
          <w:sz w:val="21"/>
          <w:szCs w:val="21"/>
        </w:rPr>
        <w:t>公司在注重企业运营的同时，尽可能兼顾各相关方的不同需求，将保护他们的权益视为自身责任，并付诸于实际行动之中。作为</w:t>
      </w:r>
      <w:r>
        <w:rPr>
          <w:rFonts w:hint="eastAsia" w:ascii="宋体" w:hAnsi="宋体" w:cs="宋体"/>
          <w:color w:val="000000"/>
          <w:sz w:val="21"/>
          <w:szCs w:val="21"/>
          <w:lang w:val="en-US" w:eastAsia="zh-CN"/>
        </w:rPr>
        <w:t>塑料包装</w:t>
      </w:r>
      <w:r>
        <w:rPr>
          <w:rFonts w:hint="eastAsia" w:ascii="宋体" w:hAnsi="宋体" w:cs="宋体"/>
          <w:color w:val="000000"/>
          <w:sz w:val="21"/>
          <w:szCs w:val="21"/>
        </w:rPr>
        <w:t>行业知名企业，公司切实履行了企业社会责任，从社会、环境、经济和谐的大系统角度，审视社会责任和企业长远发展的关系，把社会责任转化为企业发展的动力和长期利益。</w:t>
      </w:r>
    </w:p>
    <w:p>
      <w:pPr>
        <w:pStyle w:val="5"/>
        <w:numPr>
          <w:ilvl w:val="0"/>
          <w:numId w:val="2"/>
        </w:numPr>
        <w:rPr>
          <w:sz w:val="21"/>
          <w:szCs w:val="21"/>
        </w:rPr>
      </w:pPr>
      <w:bookmarkStart w:id="7" w:name="_Toc19456"/>
      <w:r>
        <w:rPr>
          <w:rFonts w:hint="eastAsia"/>
          <w:sz w:val="21"/>
          <w:szCs w:val="21"/>
        </w:rPr>
        <w:t>战略方向</w:t>
      </w:r>
      <w:bookmarkEnd w:id="7"/>
    </w:p>
    <w:p>
      <w:pPr>
        <w:keepNext w:val="0"/>
        <w:keepLines w:val="0"/>
        <w:pageBreakBefore w:val="0"/>
        <w:widowControl/>
        <w:tabs>
          <w:tab w:val="left" w:pos="3654"/>
        </w:tabs>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000000"/>
          <w:sz w:val="21"/>
          <w:szCs w:val="21"/>
        </w:rPr>
      </w:pPr>
      <w:r>
        <w:rPr>
          <w:rFonts w:hint="eastAsia" w:ascii="宋体" w:hAnsi="宋体" w:cs="宋体"/>
          <w:color w:val="000000"/>
          <w:sz w:val="21"/>
          <w:szCs w:val="21"/>
        </w:rPr>
        <w:t>公司将以科技创新为引导，持续加大科技投入，实现企业转型升级。</w:t>
      </w:r>
      <w:r>
        <w:rPr>
          <w:rFonts w:hint="eastAsia" w:ascii="宋体" w:hAnsi="宋体" w:cs="宋体"/>
          <w:color w:val="000000"/>
          <w:sz w:val="21"/>
          <w:szCs w:val="21"/>
          <w:lang w:eastAsia="zh-CN"/>
        </w:rPr>
        <w:t>持续进行创新技改，保证产品先进性，提升产能，控制成本，关注产品品质的提升，适时进行产品结构调整，提出更广阔方案应用，提高产品附加值及应用场景。每年投入不低于</w:t>
      </w:r>
      <w:r>
        <w:rPr>
          <w:rFonts w:hint="eastAsia" w:ascii="宋体" w:hAnsi="宋体" w:cs="宋体"/>
          <w:color w:val="000000"/>
          <w:sz w:val="21"/>
          <w:szCs w:val="21"/>
          <w:lang w:val="en-US" w:eastAsia="zh-CN"/>
        </w:rPr>
        <w:t>4</w:t>
      </w:r>
      <w:bookmarkStart w:id="24" w:name="_GoBack"/>
      <w:bookmarkEnd w:id="24"/>
      <w:r>
        <w:rPr>
          <w:rFonts w:hint="eastAsia" w:ascii="宋体" w:hAnsi="宋体" w:cs="宋体"/>
          <w:color w:val="000000"/>
          <w:sz w:val="21"/>
          <w:szCs w:val="21"/>
          <w:lang w:eastAsia="zh-CN"/>
        </w:rPr>
        <w:t>%的营业收入用于研发，保证产品的技术含量在行业领先地位，赶超形创。在</w:t>
      </w:r>
      <w:r>
        <w:rPr>
          <w:rFonts w:hint="eastAsia" w:ascii="宋体" w:hAnsi="宋体" w:cs="宋体"/>
          <w:color w:val="000000"/>
          <w:sz w:val="21"/>
          <w:szCs w:val="21"/>
          <w:lang w:val="en-US" w:eastAsia="zh-CN"/>
        </w:rPr>
        <w:t>包材</w:t>
      </w:r>
      <w:r>
        <w:rPr>
          <w:rFonts w:hint="eastAsia" w:ascii="宋体" w:hAnsi="宋体" w:cs="宋体"/>
          <w:color w:val="000000"/>
          <w:sz w:val="21"/>
          <w:szCs w:val="21"/>
          <w:lang w:eastAsia="zh-CN"/>
        </w:rPr>
        <w:t>领域侵占全领域，做到行业专家。把正峰打造成一个国际知名品牌。</w:t>
      </w:r>
    </w:p>
    <w:p>
      <w:pPr>
        <w:pStyle w:val="5"/>
        <w:numPr>
          <w:ilvl w:val="0"/>
          <w:numId w:val="2"/>
        </w:numPr>
        <w:rPr>
          <w:sz w:val="21"/>
          <w:szCs w:val="21"/>
        </w:rPr>
      </w:pPr>
      <w:bookmarkStart w:id="8" w:name="_Toc27182"/>
      <w:r>
        <w:rPr>
          <w:rFonts w:hint="eastAsia"/>
          <w:sz w:val="21"/>
          <w:szCs w:val="21"/>
        </w:rPr>
        <w:t>财务业绩</w:t>
      </w:r>
      <w:bookmarkEnd w:id="4"/>
      <w:bookmarkEnd w:id="8"/>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现公司拥有固定资产</w:t>
      </w:r>
      <w:r>
        <w:rPr>
          <w:rFonts w:hint="eastAsia" w:ascii="宋体" w:hAnsi="宋体" w:eastAsia="宋体" w:cs="宋体"/>
          <w:i w:val="0"/>
          <w:iCs w:val="0"/>
          <w:color w:val="000000"/>
          <w:kern w:val="0"/>
          <w:sz w:val="21"/>
          <w:szCs w:val="21"/>
          <w:u w:val="none"/>
          <w:lang w:val="en-US" w:eastAsia="zh-CN" w:bidi="ar"/>
        </w:rPr>
        <w:t>44449</w:t>
      </w:r>
      <w:r>
        <w:rPr>
          <w:rFonts w:hint="eastAsia" w:ascii="宋体" w:hAnsi="宋体" w:cs="宋体"/>
          <w:color w:val="000000"/>
          <w:sz w:val="21"/>
          <w:szCs w:val="21"/>
          <w:lang w:val="en-US" w:eastAsia="zh-Hans"/>
        </w:rPr>
        <w:t>万</w:t>
      </w:r>
      <w:r>
        <w:rPr>
          <w:rFonts w:hint="eastAsia" w:ascii="宋体" w:hAnsi="宋体" w:cs="宋体"/>
          <w:color w:val="000000"/>
          <w:sz w:val="21"/>
          <w:szCs w:val="21"/>
        </w:rPr>
        <w:t>元，</w:t>
      </w:r>
      <w:r>
        <w:rPr>
          <w:rFonts w:hint="default" w:ascii="宋体" w:hAnsi="宋体" w:cs="宋体"/>
          <w:color w:val="000000"/>
          <w:sz w:val="21"/>
          <w:szCs w:val="21"/>
        </w:rPr>
        <w:t>202</w:t>
      </w:r>
      <w:r>
        <w:rPr>
          <w:rFonts w:hint="eastAsia" w:ascii="宋体" w:hAnsi="宋体" w:cs="宋体"/>
          <w:color w:val="000000"/>
          <w:sz w:val="21"/>
          <w:szCs w:val="21"/>
          <w:lang w:val="en-US" w:eastAsia="zh-CN"/>
        </w:rPr>
        <w:t>3</w:t>
      </w:r>
      <w:r>
        <w:rPr>
          <w:rFonts w:hint="eastAsia" w:ascii="宋体" w:hAnsi="宋体" w:cs="宋体"/>
          <w:color w:val="000000"/>
          <w:sz w:val="21"/>
          <w:szCs w:val="21"/>
        </w:rPr>
        <w:t>年实现销售收入</w:t>
      </w:r>
      <w:r>
        <w:rPr>
          <w:rFonts w:hint="eastAsia" w:ascii="宋体" w:hAnsi="宋体" w:eastAsia="宋体" w:cs="宋体"/>
          <w:i w:val="0"/>
          <w:iCs w:val="0"/>
          <w:color w:val="000000"/>
          <w:kern w:val="0"/>
          <w:sz w:val="21"/>
          <w:szCs w:val="21"/>
          <w:u w:val="none"/>
          <w:lang w:val="en-US" w:eastAsia="zh-CN" w:bidi="ar"/>
        </w:rPr>
        <w:t>13720</w:t>
      </w:r>
      <w:r>
        <w:rPr>
          <w:rFonts w:hint="eastAsia" w:ascii="宋体" w:hAnsi="宋体" w:cs="宋体"/>
          <w:color w:val="000000"/>
          <w:sz w:val="21"/>
          <w:szCs w:val="21"/>
          <w:lang w:val="en-US" w:eastAsia="zh-CN"/>
        </w:rPr>
        <w:t>万</w:t>
      </w:r>
      <w:r>
        <w:rPr>
          <w:rFonts w:hint="eastAsia" w:ascii="宋体" w:hAnsi="宋体" w:cs="宋体"/>
          <w:color w:val="000000"/>
          <w:sz w:val="21"/>
          <w:szCs w:val="21"/>
        </w:rPr>
        <w:t>元。现已规划实施转型升级战略，打造</w:t>
      </w:r>
      <w:r>
        <w:rPr>
          <w:rFonts w:hint="eastAsia" w:ascii="宋体" w:hAnsi="宋体" w:cs="宋体"/>
          <w:color w:val="000000"/>
          <w:sz w:val="21"/>
          <w:szCs w:val="21"/>
          <w:lang w:val="en-US" w:eastAsia="zh-CN"/>
        </w:rPr>
        <w:t>国际</w:t>
      </w:r>
      <w:r>
        <w:rPr>
          <w:rFonts w:hint="eastAsia" w:ascii="宋体" w:hAnsi="宋体" w:cs="宋体"/>
          <w:color w:val="000000"/>
          <w:sz w:val="21"/>
          <w:szCs w:val="21"/>
        </w:rPr>
        <w:t>高端品牌。</w:t>
      </w:r>
    </w:p>
    <w:p>
      <w:pPr>
        <w:pStyle w:val="4"/>
        <w:spacing w:after="240"/>
        <w:jc w:val="center"/>
      </w:pPr>
      <w:bookmarkStart w:id="9" w:name="_Toc7678"/>
      <w:bookmarkStart w:id="10" w:name="_Toc528402784"/>
      <w:r>
        <w:rPr>
          <w:rFonts w:hint="eastAsia"/>
        </w:rPr>
        <w:t>三、社会责任</w:t>
      </w:r>
      <w:bookmarkEnd w:id="9"/>
      <w:bookmarkEnd w:id="10"/>
    </w:p>
    <w:p>
      <w:pPr>
        <w:pStyle w:val="5"/>
        <w:numPr>
          <w:ilvl w:val="0"/>
          <w:numId w:val="3"/>
        </w:numPr>
        <w:rPr>
          <w:rFonts w:hAnsi="宋体"/>
          <w:sz w:val="21"/>
          <w:szCs w:val="21"/>
        </w:rPr>
      </w:pPr>
      <w:bookmarkStart w:id="11" w:name="_Toc24945"/>
      <w:r>
        <w:rPr>
          <w:rFonts w:hint="eastAsia" w:hAnsi="宋体"/>
          <w:sz w:val="21"/>
          <w:szCs w:val="21"/>
        </w:rPr>
        <w:t>诚信守法</w:t>
      </w:r>
      <w:bookmarkEnd w:id="11"/>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公司严格遵守各项法律法规，诚信经营、依法纳税、不断提高产品质量,注重保护相关方利益，应遵守的法律法规包括一般法、质量类、行业与标准认证类等，见</w:t>
      </w:r>
      <w:r>
        <w:rPr>
          <w:rFonts w:hint="eastAsia" w:ascii="宋体" w:hAnsi="宋体" w:cs="宋体"/>
          <w:color w:val="000000"/>
          <w:sz w:val="21"/>
          <w:szCs w:val="21"/>
          <w:lang w:val="en-US" w:eastAsia="zh-CN"/>
        </w:rPr>
        <w:t>下</w:t>
      </w:r>
      <w:r>
        <w:rPr>
          <w:rFonts w:hint="eastAsia" w:ascii="宋体" w:hAnsi="宋体" w:cs="宋体"/>
          <w:color w:val="000000"/>
          <w:sz w:val="21"/>
          <w:szCs w:val="21"/>
        </w:rPr>
        <w:t>表。</w:t>
      </w:r>
    </w:p>
    <w:p>
      <w:pPr>
        <w:snapToGrid w:val="0"/>
        <w:spacing w:line="360" w:lineRule="auto"/>
        <w:jc w:val="center"/>
        <w:rPr>
          <w:rFonts w:ascii="Times New Roman" w:hAnsi="Times New Roman"/>
          <w:b/>
          <w:sz w:val="24"/>
          <w:szCs w:val="24"/>
        </w:rPr>
      </w:pPr>
      <w:r>
        <w:rPr>
          <w:rFonts w:ascii="Times New Roman" w:hAnsi="Times New Roman"/>
          <w:b/>
          <w:sz w:val="24"/>
          <w:szCs w:val="24"/>
        </w:rPr>
        <w:t>主要法律法规环境</w:t>
      </w:r>
    </w:p>
    <w:tbl>
      <w:tblPr>
        <w:tblStyle w:val="2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484"/>
        <w:gridCol w:w="1614"/>
        <w:gridCol w:w="2322"/>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77"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项目</w:t>
            </w:r>
          </w:p>
        </w:tc>
        <w:tc>
          <w:tcPr>
            <w:tcW w:w="2484"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国家、行业标准</w:t>
            </w:r>
          </w:p>
        </w:tc>
        <w:tc>
          <w:tcPr>
            <w:tcW w:w="1614"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控制指标</w:t>
            </w:r>
          </w:p>
        </w:tc>
        <w:tc>
          <w:tcPr>
            <w:tcW w:w="2322"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现有控制措施</w:t>
            </w:r>
          </w:p>
        </w:tc>
        <w:tc>
          <w:tcPr>
            <w:tcW w:w="1122" w:type="dxa"/>
            <w:shd w:val="clear" w:color="auto" w:fill="1F497D"/>
            <w:noWrap w:val="0"/>
            <w:vAlign w:val="center"/>
          </w:tcPr>
          <w:p>
            <w:pPr>
              <w:widowControl/>
              <w:spacing w:line="400" w:lineRule="exact"/>
              <w:jc w:val="center"/>
              <w:rPr>
                <w:rFonts w:ascii="Times New Roman" w:hAnsi="Times New Roman"/>
                <w:b/>
                <w:bCs/>
                <w:color w:val="FFFFFF"/>
                <w:kern w:val="0"/>
                <w:szCs w:val="21"/>
              </w:rPr>
            </w:pPr>
            <w:r>
              <w:rPr>
                <w:rFonts w:ascii="Times New Roman" w:hAnsi="Times New Roman"/>
                <w:b/>
                <w:bCs/>
                <w:color w:val="FFFFFF"/>
                <w:kern w:val="0"/>
                <w:szCs w:val="21"/>
              </w:rPr>
              <w:t>测量方法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977" w:type="dxa"/>
            <w:noWrap w:val="0"/>
            <w:vAlign w:val="center"/>
          </w:tcPr>
          <w:p>
            <w:pPr>
              <w:spacing w:line="400" w:lineRule="exact"/>
              <w:jc w:val="center"/>
              <w:rPr>
                <w:rFonts w:ascii="Times New Roman" w:hAnsi="Times New Roman"/>
                <w:szCs w:val="21"/>
              </w:rPr>
            </w:pPr>
            <w:r>
              <w:rPr>
                <w:rFonts w:ascii="Times New Roman" w:hAnsi="Times New Roman"/>
                <w:szCs w:val="21"/>
              </w:rPr>
              <w:t>质量安全</w:t>
            </w:r>
          </w:p>
        </w:tc>
        <w:tc>
          <w:tcPr>
            <w:tcW w:w="2484"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Theme="minorEastAsia"/>
                <w:szCs w:val="21"/>
                <w:lang w:val="en-US" w:eastAsia="zh-CN"/>
              </w:rPr>
            </w:pPr>
            <w:r>
              <w:rPr>
                <w:rFonts w:hint="default" w:ascii="Times New Roman" w:hAnsi="Times New Roman" w:eastAsiaTheme="minorEastAsia"/>
                <w:szCs w:val="21"/>
                <w:lang w:val="en-US" w:eastAsia="zh-CN"/>
              </w:rPr>
              <w:fldChar w:fldCharType="begin"/>
            </w:r>
            <w:r>
              <w:rPr>
                <w:rFonts w:hint="default" w:ascii="Times New Roman" w:hAnsi="Times New Roman" w:eastAsiaTheme="minorEastAsia"/>
                <w:szCs w:val="21"/>
                <w:lang w:val="en-US" w:eastAsia="zh-CN"/>
              </w:rPr>
              <w:instrText xml:space="preserve"> HYPERLINK "https://bbs.biaozhuns.com/forum.php?mod=viewthread&amp;tid=305862&amp;highlight=%E5%BE%AE%E5%9E%8B%E8%80%95%E8%80%98%E6%9C%BA" </w:instrText>
            </w:r>
            <w:r>
              <w:rPr>
                <w:rFonts w:hint="default" w:ascii="Times New Roman" w:hAnsi="Times New Roman" w:eastAsiaTheme="minorEastAsia"/>
                <w:szCs w:val="21"/>
                <w:lang w:val="en-US" w:eastAsia="zh-CN"/>
              </w:rPr>
              <w:fldChar w:fldCharType="separate"/>
            </w:r>
            <w:r>
              <w:rPr>
                <w:rFonts w:hint="eastAsia" w:ascii="Times New Roman" w:hAnsi="Times New Roman" w:eastAsiaTheme="minorEastAsia"/>
                <w:szCs w:val="21"/>
                <w:lang w:eastAsia="zh-CN"/>
              </w:rPr>
              <w:t>《微型耕耘机</w:t>
            </w:r>
            <w:r>
              <w:rPr>
                <w:rFonts w:hint="default" w:ascii="Times New Roman" w:hAnsi="Times New Roman" w:eastAsiaTheme="minorEastAsia"/>
                <w:szCs w:val="21"/>
                <w:lang w:val="en-US" w:eastAsia="zh-CN"/>
              </w:rPr>
              <w:fldChar w:fldCharType="end"/>
            </w:r>
            <w:r>
              <w:rPr>
                <w:rFonts w:hint="eastAsia" w:ascii="Times New Roman" w:hAnsi="Times New Roman" w:eastAsiaTheme="minorEastAsia"/>
                <w:szCs w:val="21"/>
                <w:lang w:val="en-US" w:eastAsia="zh-CN"/>
              </w:rPr>
              <w:t>》（T/ZZB 2108-2021 ）</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Times New Roman" w:hAnsi="Times New Roman" w:eastAsiaTheme="minorEastAsia"/>
                <w:szCs w:val="21"/>
                <w:lang w:val="en-US" w:eastAsia="zh-CN"/>
              </w:rPr>
            </w:pPr>
            <w:r>
              <w:rPr>
                <w:rFonts w:hint="eastAsia" w:ascii="Times New Roman" w:hAnsi="Times New Roman" w:eastAsiaTheme="minorEastAsia"/>
                <w:szCs w:val="21"/>
                <w:lang w:val="en-US" w:eastAsia="zh-CN"/>
              </w:rPr>
              <w:t>《微型耕耘机》（JB/T 10266-2013 ）</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Times New Roman" w:hAnsi="Times New Roman" w:eastAsiaTheme="minorEastAsia"/>
                <w:szCs w:val="21"/>
                <w:lang w:eastAsia="zh-CN"/>
              </w:rPr>
            </w:pPr>
            <w:r>
              <w:rPr>
                <w:rFonts w:hint="default" w:ascii="Times New Roman" w:hAnsi="Times New Roman" w:eastAsiaTheme="minorEastAsia"/>
                <w:szCs w:val="21"/>
                <w:lang w:val="en-US" w:eastAsia="zh-CN"/>
              </w:rPr>
              <w:fldChar w:fldCharType="begin"/>
            </w:r>
            <w:r>
              <w:rPr>
                <w:rFonts w:hint="default" w:ascii="Times New Roman" w:hAnsi="Times New Roman" w:eastAsiaTheme="minorEastAsia"/>
                <w:szCs w:val="21"/>
                <w:lang w:val="en-US" w:eastAsia="zh-CN"/>
              </w:rPr>
              <w:instrText xml:space="preserve"> HYPERLINK "http://www.bzmfxz.com/biaozhun/Soft/GJBZ/2009/05/02/38083.html" </w:instrText>
            </w:r>
            <w:r>
              <w:rPr>
                <w:rFonts w:hint="default" w:ascii="Times New Roman" w:hAnsi="Times New Roman" w:eastAsiaTheme="minorEastAsia"/>
                <w:szCs w:val="21"/>
                <w:lang w:val="en-US" w:eastAsia="zh-CN"/>
              </w:rPr>
              <w:fldChar w:fldCharType="separate"/>
            </w:r>
            <w:r>
              <w:rPr>
                <w:rFonts w:hint="eastAsia" w:ascii="Times New Roman" w:hAnsi="Times New Roman" w:eastAsiaTheme="minorEastAsia"/>
                <w:szCs w:val="21"/>
                <w:lang w:eastAsia="zh-CN"/>
              </w:rPr>
              <w:t>《农林拖拉机和机械 安全技术要求 第10部分：手扶微型耕耘机</w:t>
            </w:r>
            <w:r>
              <w:rPr>
                <w:rFonts w:hint="default" w:ascii="Times New Roman" w:hAnsi="Times New Roman" w:eastAsiaTheme="minorEastAsia"/>
                <w:szCs w:val="21"/>
                <w:lang w:val="en-US" w:eastAsia="zh-CN"/>
              </w:rPr>
              <w:fldChar w:fldCharType="end"/>
            </w:r>
            <w:r>
              <w:rPr>
                <w:rFonts w:hint="eastAsia" w:ascii="Times New Roman" w:hAnsi="Times New Roman" w:eastAsiaTheme="minorEastAsia"/>
                <w:szCs w:val="21"/>
                <w:lang w:val="en-US" w:eastAsia="zh-CN"/>
              </w:rPr>
              <w:t>》（GB10395 5.10-2006</w:t>
            </w:r>
            <w:r>
              <w:rPr>
                <w:rFonts w:hint="eastAsia" w:ascii="Times New Roman" w:hAnsi="Times New Roman"/>
                <w:szCs w:val="21"/>
                <w:lang w:val="en-US" w:eastAsia="zh-CN"/>
              </w:rPr>
              <w:t>）</w:t>
            </w:r>
          </w:p>
          <w:p>
            <w:pPr>
              <w:spacing w:line="400" w:lineRule="exact"/>
              <w:jc w:val="left"/>
              <w:rPr>
                <w:rFonts w:hint="eastAsia" w:ascii="Times New Roman" w:hAnsi="Times New Roman"/>
                <w:color w:val="000000"/>
                <w:kern w:val="0"/>
                <w:szCs w:val="21"/>
                <w:lang w:eastAsia="zh-CN"/>
              </w:rPr>
            </w:pPr>
          </w:p>
        </w:tc>
        <w:tc>
          <w:tcPr>
            <w:tcW w:w="1614" w:type="dxa"/>
            <w:noWrap w:val="0"/>
            <w:vAlign w:val="center"/>
          </w:tcPr>
          <w:p>
            <w:pPr>
              <w:spacing w:line="400" w:lineRule="exact"/>
              <w:jc w:val="left"/>
              <w:rPr>
                <w:rFonts w:ascii="Times New Roman" w:hAnsi="Times New Roman"/>
                <w:color w:val="000000"/>
                <w:kern w:val="0"/>
                <w:szCs w:val="21"/>
              </w:rPr>
            </w:pPr>
            <w:r>
              <w:rPr>
                <w:rFonts w:hint="eastAsia" w:ascii="Times New Roman" w:hAnsi="Times New Roman"/>
                <w:color w:val="000000"/>
                <w:kern w:val="0"/>
                <w:szCs w:val="21"/>
                <w:lang w:eastAsia="zh-CN"/>
              </w:rPr>
              <w:t>过程产品、</w:t>
            </w:r>
            <w:r>
              <w:rPr>
                <w:rFonts w:ascii="Times New Roman" w:hAnsi="Times New Roman"/>
                <w:color w:val="000000"/>
                <w:kern w:val="0"/>
                <w:szCs w:val="21"/>
              </w:rPr>
              <w:t>成品抽检合格率</w:t>
            </w:r>
          </w:p>
        </w:tc>
        <w:tc>
          <w:tcPr>
            <w:tcW w:w="2322" w:type="dxa"/>
            <w:noWrap w:val="0"/>
            <w:vAlign w:val="center"/>
          </w:tcPr>
          <w:p>
            <w:pPr>
              <w:autoSpaceDE w:val="0"/>
              <w:autoSpaceDN w:val="0"/>
              <w:adjustRightInd w:val="0"/>
              <w:spacing w:line="400" w:lineRule="exact"/>
              <w:rPr>
                <w:rFonts w:ascii="Times New Roman" w:hAnsi="Times New Roman"/>
                <w:color w:val="000000"/>
                <w:kern w:val="0"/>
                <w:szCs w:val="21"/>
              </w:rPr>
            </w:pPr>
            <w:r>
              <w:rPr>
                <w:rFonts w:ascii="Times New Roman" w:hAnsi="Times New Roman"/>
                <w:color w:val="000000"/>
                <w:kern w:val="0"/>
                <w:szCs w:val="21"/>
                <w:lang w:bidi="en-US"/>
              </w:rPr>
              <w:t>公司质量管理严格遵守国家法规和标准，实施并通过质量管理体系认证，不断完善质量管理过程，并从质量管理、质量检验与试验、计量理化检测等多方面控制产品质量</w:t>
            </w:r>
          </w:p>
        </w:tc>
        <w:tc>
          <w:tcPr>
            <w:tcW w:w="1122" w:type="dxa"/>
            <w:noWrap w:val="0"/>
            <w:vAlign w:val="center"/>
          </w:tcPr>
          <w:p>
            <w:pPr>
              <w:spacing w:line="400" w:lineRule="exact"/>
              <w:rPr>
                <w:rFonts w:ascii="Times New Roman" w:hAnsi="Times New Roman"/>
                <w:szCs w:val="21"/>
              </w:rPr>
            </w:pPr>
            <w:r>
              <w:rPr>
                <w:rFonts w:hint="eastAsia" w:ascii="Times New Roman" w:hAnsi="Times New Roman"/>
                <w:szCs w:val="21"/>
                <w:lang w:eastAsia="zh-CN"/>
              </w:rPr>
              <w:t>质管部</w:t>
            </w:r>
            <w:r>
              <w:rPr>
                <w:rFonts w:ascii="Times New Roman" w:hAnsi="Times New Roman"/>
                <w:szCs w:val="21"/>
              </w:rPr>
              <w:t>根据检验标准进行检验并记录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977" w:type="dxa"/>
            <w:tcBorders>
              <w:bottom w:val="single" w:color="auto" w:sz="4" w:space="0"/>
            </w:tcBorders>
            <w:noWrap w:val="0"/>
            <w:vAlign w:val="center"/>
          </w:tcPr>
          <w:p>
            <w:pPr>
              <w:spacing w:line="400" w:lineRule="exact"/>
              <w:jc w:val="center"/>
              <w:rPr>
                <w:rFonts w:ascii="Times New Roman" w:hAnsi="Times New Roman"/>
                <w:color w:val="000000"/>
                <w:kern w:val="0"/>
                <w:szCs w:val="21"/>
              </w:rPr>
            </w:pPr>
            <w:r>
              <w:rPr>
                <w:rFonts w:ascii="Times New Roman" w:hAnsi="Times New Roman"/>
                <w:szCs w:val="21"/>
              </w:rPr>
              <w:t>能源节约</w:t>
            </w:r>
            <w:r>
              <w:rPr>
                <w:rFonts w:hint="eastAsia" w:ascii="Times New Roman" w:hAnsi="Times New Roman"/>
                <w:szCs w:val="21"/>
                <w:lang w:eastAsia="zh-CN"/>
              </w:rPr>
              <w:t>及综合利用</w:t>
            </w:r>
          </w:p>
        </w:tc>
        <w:tc>
          <w:tcPr>
            <w:tcW w:w="2484" w:type="dxa"/>
            <w:tcBorders>
              <w:bottom w:val="single" w:color="auto" w:sz="4" w:space="0"/>
            </w:tcBorders>
            <w:noWrap w:val="0"/>
            <w:vAlign w:val="center"/>
          </w:tcPr>
          <w:p>
            <w:pPr>
              <w:spacing w:line="400" w:lineRule="exact"/>
              <w:jc w:val="left"/>
              <w:rPr>
                <w:rFonts w:ascii="Times New Roman" w:hAnsi="Times New Roman"/>
                <w:color w:val="000000"/>
                <w:kern w:val="0"/>
                <w:szCs w:val="21"/>
              </w:rPr>
            </w:pPr>
            <w:r>
              <w:rPr>
                <w:rFonts w:ascii="Times New Roman" w:hAnsi="Times New Roman"/>
                <w:color w:val="000000"/>
                <w:kern w:val="0"/>
                <w:szCs w:val="21"/>
              </w:rPr>
              <w:t>《中华人民共和国节约能源法》</w:t>
            </w:r>
          </w:p>
        </w:tc>
        <w:tc>
          <w:tcPr>
            <w:tcW w:w="1614" w:type="dxa"/>
            <w:tcBorders>
              <w:bottom w:val="single" w:color="auto" w:sz="4" w:space="0"/>
            </w:tcBorders>
            <w:noWrap w:val="0"/>
            <w:vAlign w:val="center"/>
          </w:tcPr>
          <w:p>
            <w:pPr>
              <w:spacing w:line="400" w:lineRule="exact"/>
              <w:rPr>
                <w:rFonts w:ascii="Times New Roman" w:hAnsi="Times New Roman"/>
                <w:szCs w:val="21"/>
              </w:rPr>
            </w:pPr>
            <w:r>
              <w:rPr>
                <w:rFonts w:ascii="Times New Roman" w:hAnsi="Times New Roman"/>
                <w:szCs w:val="21"/>
              </w:rPr>
              <w:t>公司内部的考核指标有对单位产能对电和燃气使用的控制</w:t>
            </w:r>
          </w:p>
        </w:tc>
        <w:tc>
          <w:tcPr>
            <w:tcW w:w="2322" w:type="dxa"/>
            <w:noWrap w:val="0"/>
            <w:vAlign w:val="center"/>
          </w:tcPr>
          <w:p>
            <w:pPr>
              <w:autoSpaceDE w:val="0"/>
              <w:autoSpaceDN w:val="0"/>
              <w:adjustRightInd w:val="0"/>
              <w:spacing w:line="400" w:lineRule="exact"/>
              <w:rPr>
                <w:rFonts w:hint="eastAsia" w:ascii="Times New Roman" w:hAnsi="Times New Roman" w:eastAsia="宋体"/>
                <w:color w:val="000000"/>
                <w:kern w:val="0"/>
                <w:szCs w:val="21"/>
                <w:lang w:eastAsia="zh-CN"/>
              </w:rPr>
            </w:pPr>
            <w:r>
              <w:rPr>
                <w:rFonts w:ascii="Times New Roman" w:hAnsi="Times New Roman"/>
                <w:color w:val="000000"/>
                <w:kern w:val="0"/>
                <w:szCs w:val="21"/>
              </w:rPr>
              <w:t>公司在产品设计和生产线技术改造方面注重节能降耗和能资源综合利用，主要耗能设备采用最先进的低能耗设备，广泛使用变频技术和余热利用技术降低能耗。</w:t>
            </w:r>
          </w:p>
        </w:tc>
        <w:tc>
          <w:tcPr>
            <w:tcW w:w="1122" w:type="dxa"/>
            <w:noWrap w:val="0"/>
            <w:vAlign w:val="center"/>
          </w:tcPr>
          <w:p>
            <w:pPr>
              <w:spacing w:line="400" w:lineRule="exact"/>
              <w:rPr>
                <w:rFonts w:ascii="Times New Roman" w:hAnsi="Times New Roman"/>
                <w:szCs w:val="21"/>
              </w:rPr>
            </w:pPr>
            <w:r>
              <w:rPr>
                <w:rFonts w:ascii="Times New Roman" w:hAnsi="Times New Roman"/>
                <w:szCs w:val="21"/>
              </w:rPr>
              <w:t>根据每月的产能计算单位产品的用电及燃气量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77" w:type="dxa"/>
            <w:noWrap w:val="0"/>
            <w:vAlign w:val="center"/>
          </w:tcPr>
          <w:p>
            <w:pPr>
              <w:spacing w:line="400" w:lineRule="exact"/>
              <w:jc w:val="center"/>
              <w:rPr>
                <w:rFonts w:hint="eastAsia" w:ascii="Times New Roman" w:hAnsi="Times New Roman" w:eastAsia="宋体"/>
                <w:szCs w:val="21"/>
                <w:lang w:eastAsia="zh-CN"/>
              </w:rPr>
            </w:pPr>
            <w:r>
              <w:rPr>
                <w:rFonts w:ascii="Times New Roman" w:hAnsi="Times New Roman"/>
                <w:color w:val="000000"/>
                <w:kern w:val="0"/>
                <w:szCs w:val="21"/>
              </w:rPr>
              <w:t>环境保护</w:t>
            </w:r>
          </w:p>
        </w:tc>
        <w:tc>
          <w:tcPr>
            <w:tcW w:w="2484" w:type="dxa"/>
            <w:noWrap w:val="0"/>
            <w:vAlign w:val="center"/>
          </w:tcPr>
          <w:p>
            <w:pPr>
              <w:spacing w:line="400" w:lineRule="exact"/>
              <w:rPr>
                <w:rFonts w:hint="eastAsia" w:ascii="Times New Roman" w:hAnsi="Times New Roman" w:eastAsiaTheme="minorEastAsia"/>
                <w:szCs w:val="21"/>
                <w:lang w:eastAsia="zh-CN"/>
              </w:rPr>
            </w:pPr>
            <w:r>
              <w:rPr>
                <w:rFonts w:hint="eastAsia" w:ascii="Times New Roman" w:hAnsi="Times New Roman" w:eastAsiaTheme="minorEastAsia"/>
                <w:szCs w:val="21"/>
                <w:lang w:eastAsia="zh-CN"/>
              </w:rPr>
              <w:t>污水符合《污水综合排放标准》（GB8978-1996）三级排放标准。废水符合</w:t>
            </w:r>
            <w:r>
              <w:rPr>
                <w:rFonts w:hint="eastAsia" w:ascii="宋体" w:hAnsi="宋体"/>
                <w:szCs w:val="21"/>
              </w:rPr>
              <w:t>《城镇污水处理厂污染物排放标准》 （GB18918-2002）一级 A 标准</w:t>
            </w:r>
            <w:r>
              <w:rPr>
                <w:rFonts w:hint="eastAsia" w:ascii="Times New Roman" w:hAnsi="Times New Roman" w:eastAsiaTheme="minorEastAsia"/>
                <w:szCs w:val="21"/>
                <w:lang w:eastAsia="zh-CN"/>
              </w:rPr>
              <w:t>。废气符合工业涂装工序大气污染物排放标准DB33/ 2146-2018,大气污染物综合排放标准GB 16297-1996,大气污染物综合排放标准GB16297-1996。</w:t>
            </w:r>
          </w:p>
          <w:p>
            <w:pPr>
              <w:spacing w:line="400" w:lineRule="exact"/>
              <w:rPr>
                <w:rFonts w:hint="eastAsia" w:ascii="Times New Roman" w:hAnsi="Times New Roman" w:eastAsiaTheme="minorEastAsia"/>
                <w:szCs w:val="21"/>
                <w:lang w:eastAsia="zh-CN"/>
              </w:rPr>
            </w:pPr>
            <w:r>
              <w:rPr>
                <w:rFonts w:hint="eastAsia" w:ascii="Times New Roman" w:hAnsi="Times New Roman" w:eastAsiaTheme="minorEastAsia"/>
                <w:szCs w:val="21"/>
                <w:lang w:eastAsia="zh-CN"/>
              </w:rPr>
              <w:t>噪声符合《工业企业厂界环境噪声排放标准》（GB12348-2008）中3类标准限值</w:t>
            </w:r>
          </w:p>
        </w:tc>
        <w:tc>
          <w:tcPr>
            <w:tcW w:w="1614" w:type="dxa"/>
            <w:noWrap w:val="0"/>
            <w:vAlign w:val="center"/>
          </w:tcPr>
          <w:p>
            <w:pPr>
              <w:spacing w:line="400" w:lineRule="exact"/>
              <w:rPr>
                <w:rFonts w:ascii="Times New Roman" w:hAnsi="Times New Roman"/>
                <w:szCs w:val="21"/>
              </w:rPr>
            </w:pPr>
            <w:r>
              <w:rPr>
                <w:rFonts w:hint="eastAsia" w:ascii="Times New Roman" w:hAnsi="Times New Roman"/>
                <w:szCs w:val="21"/>
              </w:rPr>
              <w:t>公司建立公司、车间、班组的三级管理网络，各部门进行环境因素评价。废水隔离处理后排放，排放水体由水质分析监测站检测分析</w:t>
            </w:r>
            <w:r>
              <w:rPr>
                <w:rFonts w:hint="eastAsia" w:ascii="Times New Roman" w:hAnsi="Times New Roman"/>
                <w:szCs w:val="21"/>
                <w:lang w:eastAsia="zh-CN"/>
              </w:rPr>
              <w:t>，</w:t>
            </w:r>
            <w:r>
              <w:rPr>
                <w:rFonts w:hint="eastAsia" w:ascii="Times New Roman" w:hAnsi="Times New Roman"/>
                <w:szCs w:val="21"/>
              </w:rPr>
              <w:t>固体废弃物根据国家相关法规及标准进行分类处理。选用高效率、低噪声的设备，经过专业机构的环评，合理工厂总图布置。</w:t>
            </w:r>
          </w:p>
        </w:tc>
        <w:tc>
          <w:tcPr>
            <w:tcW w:w="2322" w:type="dxa"/>
            <w:noWrap w:val="0"/>
            <w:vAlign w:val="center"/>
          </w:tcPr>
          <w:p>
            <w:pPr>
              <w:autoSpaceDE w:val="0"/>
              <w:autoSpaceDN w:val="0"/>
              <w:adjustRightInd w:val="0"/>
              <w:spacing w:line="400" w:lineRule="exact"/>
              <w:rPr>
                <w:rFonts w:ascii="Times New Roman" w:hAnsi="Times New Roman"/>
                <w:color w:val="000000"/>
                <w:kern w:val="0"/>
                <w:szCs w:val="21"/>
              </w:rPr>
            </w:pPr>
            <w:r>
              <w:rPr>
                <w:rFonts w:ascii="Times New Roman" w:hAnsi="Times New Roman"/>
                <w:color w:val="000000"/>
                <w:kern w:val="0"/>
                <w:szCs w:val="21"/>
              </w:rPr>
              <w:t>根据环境管理体系要求，对法律法规进行动态的更新和发布，并每年组织一次法律法规的合规性评价，以衡量法律法规的符合性；引入 ISO14001 环境管理体系，组织集中式和滚动式的内部审核管理，对体系运行情况进行实时监控，保持体系的有效性，推动环保治理工作的持续改进</w:t>
            </w:r>
            <w:r>
              <w:rPr>
                <w:rFonts w:hint="eastAsia" w:ascii="Times New Roman" w:hAnsi="Times New Roman"/>
                <w:color w:val="000000"/>
                <w:kern w:val="0"/>
                <w:szCs w:val="21"/>
                <w:lang w:eastAsia="zh-CN"/>
              </w:rPr>
              <w:t>。</w:t>
            </w:r>
          </w:p>
        </w:tc>
        <w:tc>
          <w:tcPr>
            <w:tcW w:w="1122" w:type="dxa"/>
            <w:noWrap w:val="0"/>
            <w:vAlign w:val="center"/>
          </w:tcPr>
          <w:p>
            <w:pPr>
              <w:spacing w:line="400" w:lineRule="exact"/>
              <w:rPr>
                <w:rFonts w:ascii="Times New Roman" w:hAnsi="Times New Roman"/>
                <w:szCs w:val="21"/>
              </w:rPr>
            </w:pPr>
            <w:r>
              <w:rPr>
                <w:rFonts w:ascii="Times New Roman" w:hAnsi="Times New Roman"/>
                <w:szCs w:val="21"/>
              </w:rPr>
              <w:t>委托外部有资质单位检测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77" w:type="dxa"/>
            <w:noWrap w:val="0"/>
            <w:vAlign w:val="center"/>
          </w:tcPr>
          <w:p>
            <w:pPr>
              <w:spacing w:line="400" w:lineRule="exact"/>
              <w:jc w:val="center"/>
              <w:rPr>
                <w:rFonts w:ascii="Times New Roman" w:hAnsi="Times New Roman"/>
                <w:szCs w:val="21"/>
              </w:rPr>
            </w:pPr>
            <w:r>
              <w:rPr>
                <w:rFonts w:ascii="Times New Roman" w:hAnsi="Times New Roman"/>
                <w:szCs w:val="21"/>
              </w:rPr>
              <w:t>安全生产</w:t>
            </w:r>
          </w:p>
        </w:tc>
        <w:tc>
          <w:tcPr>
            <w:tcW w:w="2484" w:type="dxa"/>
            <w:noWrap w:val="0"/>
            <w:vAlign w:val="center"/>
          </w:tcPr>
          <w:p>
            <w:pPr>
              <w:spacing w:line="400" w:lineRule="exact"/>
              <w:rPr>
                <w:rFonts w:ascii="Times New Roman" w:hAnsi="Times New Roman"/>
                <w:szCs w:val="21"/>
              </w:rPr>
            </w:pPr>
            <w:r>
              <w:rPr>
                <w:rFonts w:ascii="Times New Roman" w:hAnsi="Times New Roman"/>
                <w:szCs w:val="21"/>
              </w:rPr>
              <w:t>《中华人民共和国安全生产法》、</w:t>
            </w:r>
            <w:r>
              <w:rPr>
                <w:rFonts w:ascii="Times New Roman" w:hAnsi="Times New Roman"/>
                <w:bCs/>
                <w:kern w:val="0"/>
                <w:szCs w:val="21"/>
              </w:rPr>
              <w:t>《浙江省燃气管理条例》</w:t>
            </w:r>
          </w:p>
        </w:tc>
        <w:tc>
          <w:tcPr>
            <w:tcW w:w="1614" w:type="dxa"/>
            <w:noWrap w:val="0"/>
            <w:vAlign w:val="center"/>
          </w:tcPr>
          <w:p>
            <w:pPr>
              <w:spacing w:line="400" w:lineRule="exact"/>
              <w:rPr>
                <w:rFonts w:ascii="Times New Roman" w:hAnsi="Times New Roman"/>
                <w:szCs w:val="21"/>
              </w:rPr>
            </w:pPr>
            <w:r>
              <w:rPr>
                <w:rFonts w:ascii="Times New Roman" w:hAnsi="Times New Roman"/>
                <w:szCs w:val="21"/>
              </w:rPr>
              <w:t>杜绝燃气泄漏事故</w:t>
            </w:r>
          </w:p>
        </w:tc>
        <w:tc>
          <w:tcPr>
            <w:tcW w:w="2322" w:type="dxa"/>
            <w:noWrap w:val="0"/>
            <w:vAlign w:val="center"/>
          </w:tcPr>
          <w:p>
            <w:pPr>
              <w:autoSpaceDE w:val="0"/>
              <w:autoSpaceDN w:val="0"/>
              <w:adjustRightInd w:val="0"/>
              <w:spacing w:line="400" w:lineRule="exact"/>
              <w:rPr>
                <w:rFonts w:ascii="Times New Roman" w:hAnsi="Times New Roman"/>
                <w:color w:val="000000"/>
                <w:kern w:val="0"/>
                <w:szCs w:val="21"/>
              </w:rPr>
            </w:pPr>
            <w:r>
              <w:rPr>
                <w:rFonts w:ascii="Times New Roman" w:hAnsi="Times New Roman"/>
                <w:color w:val="000000"/>
                <w:kern w:val="0"/>
                <w:szCs w:val="21"/>
              </w:rPr>
              <w:t>严格按照国家有关安全生产的法律法规落实日常管理，配置有专业的消防管理人员和设备主管，并全部通过消防部门验收。消防管理人员均通过上级主管部门组织的培训，具备较好的业务能力。各特殊岗位均有严格的安全操作规程，所有操作人员均持证上岗，确保生产经营工作的安全运行</w:t>
            </w:r>
          </w:p>
        </w:tc>
        <w:tc>
          <w:tcPr>
            <w:tcW w:w="1122" w:type="dxa"/>
            <w:noWrap w:val="0"/>
            <w:vAlign w:val="center"/>
          </w:tcPr>
          <w:p>
            <w:pPr>
              <w:spacing w:line="400" w:lineRule="exact"/>
              <w:rPr>
                <w:rFonts w:ascii="Times New Roman" w:hAnsi="Times New Roman"/>
                <w:szCs w:val="21"/>
              </w:rPr>
            </w:pPr>
            <w:r>
              <w:rPr>
                <w:rFonts w:ascii="Times New Roman" w:hAnsi="Times New Roman"/>
                <w:szCs w:val="21"/>
              </w:rPr>
              <w:t>内部统计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77" w:type="dxa"/>
            <w:noWrap w:val="0"/>
            <w:vAlign w:val="center"/>
          </w:tcPr>
          <w:p>
            <w:pPr>
              <w:spacing w:line="400" w:lineRule="exact"/>
              <w:jc w:val="center"/>
              <w:rPr>
                <w:rFonts w:ascii="Times New Roman" w:hAnsi="Times New Roman"/>
                <w:szCs w:val="21"/>
              </w:rPr>
            </w:pPr>
            <w:r>
              <w:rPr>
                <w:rFonts w:ascii="Times New Roman" w:hAnsi="Times New Roman"/>
                <w:szCs w:val="21"/>
              </w:rPr>
              <w:t>公共卫生</w:t>
            </w:r>
          </w:p>
        </w:tc>
        <w:tc>
          <w:tcPr>
            <w:tcW w:w="2484" w:type="dxa"/>
            <w:noWrap w:val="0"/>
            <w:vAlign w:val="center"/>
          </w:tcPr>
          <w:p>
            <w:pPr>
              <w:spacing w:line="400" w:lineRule="exact"/>
              <w:rPr>
                <w:rFonts w:ascii="Times New Roman" w:hAnsi="Times New Roman"/>
                <w:szCs w:val="21"/>
              </w:rPr>
            </w:pPr>
            <w:bookmarkStart w:id="12" w:name="OLE_LINK4"/>
            <w:bookmarkStart w:id="13" w:name="OLE_LINK3"/>
            <w:r>
              <w:rPr>
                <w:rFonts w:ascii="Times New Roman" w:hAnsi="Times New Roman"/>
                <w:szCs w:val="21"/>
              </w:rPr>
              <w:t>《中华人民共和国固体废物污染环境防治法》、《城市生活垃圾管理办法》、《危险废物转移联单管理办法》、《浙江省固体废物污染环境防治条例》</w:t>
            </w:r>
            <w:bookmarkEnd w:id="12"/>
            <w:bookmarkEnd w:id="13"/>
            <w:r>
              <w:rPr>
                <w:rFonts w:ascii="Times New Roman" w:hAnsi="Times New Roman"/>
                <w:szCs w:val="21"/>
              </w:rPr>
              <w:t>等</w:t>
            </w:r>
          </w:p>
        </w:tc>
        <w:tc>
          <w:tcPr>
            <w:tcW w:w="1614" w:type="dxa"/>
            <w:noWrap w:val="0"/>
            <w:vAlign w:val="center"/>
          </w:tcPr>
          <w:p>
            <w:pPr>
              <w:spacing w:line="400" w:lineRule="exact"/>
              <w:rPr>
                <w:rFonts w:ascii="Times New Roman" w:hAnsi="Times New Roman"/>
                <w:szCs w:val="21"/>
              </w:rPr>
            </w:pPr>
            <w:r>
              <w:rPr>
                <w:rFonts w:ascii="Times New Roman" w:hAnsi="Times New Roman"/>
                <w:szCs w:val="21"/>
              </w:rPr>
              <w:t>安全处置危险废物，全面推动落实垃圾分类，加强危险废物收集管理，100%安全转移处置危险废物</w:t>
            </w:r>
          </w:p>
        </w:tc>
        <w:tc>
          <w:tcPr>
            <w:tcW w:w="2322" w:type="dxa"/>
            <w:noWrap w:val="0"/>
            <w:vAlign w:val="center"/>
          </w:tcPr>
          <w:p>
            <w:pPr>
              <w:autoSpaceDE w:val="0"/>
              <w:autoSpaceDN w:val="0"/>
              <w:adjustRightInd w:val="0"/>
              <w:spacing w:line="400" w:lineRule="exact"/>
              <w:rPr>
                <w:rFonts w:ascii="Times New Roman" w:hAnsi="Times New Roman"/>
                <w:color w:val="000000"/>
                <w:kern w:val="0"/>
                <w:szCs w:val="21"/>
              </w:rPr>
            </w:pPr>
            <w:r>
              <w:rPr>
                <w:rFonts w:ascii="Times New Roman" w:hAnsi="Times New Roman"/>
                <w:color w:val="000000"/>
                <w:kern w:val="0"/>
                <w:szCs w:val="21"/>
              </w:rPr>
              <w:t>生活污水经处理后入城市污水管网，由城市污水厂处理达标排放；依据《废弃物管理程序》，建立废弃物的分类、标识、收集及处理程序，确保可回收废弃物得到再生利用，危险废弃物得到妥善处置，避免废弃物对公共卫生造成影响</w:t>
            </w:r>
          </w:p>
        </w:tc>
        <w:tc>
          <w:tcPr>
            <w:tcW w:w="1122" w:type="dxa"/>
            <w:noWrap w:val="0"/>
            <w:vAlign w:val="center"/>
          </w:tcPr>
          <w:p>
            <w:pPr>
              <w:spacing w:line="400" w:lineRule="exact"/>
              <w:rPr>
                <w:rFonts w:ascii="Times New Roman" w:hAnsi="Times New Roman"/>
                <w:szCs w:val="21"/>
              </w:rPr>
            </w:pPr>
            <w:r>
              <w:rPr>
                <w:rFonts w:ascii="Times New Roman" w:hAnsi="Times New Roman"/>
                <w:szCs w:val="21"/>
              </w:rPr>
              <w:t>委托外部资质机构转移</w:t>
            </w:r>
          </w:p>
        </w:tc>
      </w:tr>
    </w:tbl>
    <w:p>
      <w:pPr>
        <w:spacing w:line="276" w:lineRule="auto"/>
        <w:ind w:firstLine="480" w:firstLineChars="200"/>
        <w:rPr>
          <w:rFonts w:ascii="Times New Roman" w:hAnsi="Times New Roman"/>
          <w:sz w:val="24"/>
          <w:szCs w:val="24"/>
        </w:rPr>
      </w:pP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公司每年进行合规性评价，公司建立GB/T 19001、GB/T 24001、GB/T 45001等管理体系，充分地对产品质量、服务质量、安全生产、环境控制、职业健康要求、公司经营管理等进行了全面的法律法规要求的识别，并通过行业协会、网络、书籍、杂质、报纸、新闻、客户等多途径进行了法律法规有效性的获取，收集了行业相关的法律法规，安全生产法律法规、劳动保护法律法规、环境保护、产品质量、能源管理、知识产权管理等等系列的法律</w:t>
      </w:r>
      <w:r>
        <w:rPr>
          <w:rFonts w:hint="eastAsia" w:ascii="宋体" w:hAnsi="宋体" w:cs="宋体"/>
          <w:color w:val="000000"/>
          <w:sz w:val="21"/>
          <w:szCs w:val="21"/>
          <w:lang w:val="en-US" w:eastAsia="zh-CN"/>
        </w:rPr>
        <w:t>法规</w:t>
      </w:r>
      <w:r>
        <w:rPr>
          <w:rFonts w:hint="eastAsia" w:ascii="宋体" w:hAnsi="宋体" w:cs="宋体"/>
          <w:color w:val="000000"/>
          <w:sz w:val="21"/>
          <w:szCs w:val="21"/>
        </w:rPr>
        <w:t>100余项，识别获取充分有效。公司在经营过程中严格遵守国家、地方各项法律法规和标准，营造诚信守法的经营氛围。</w:t>
      </w:r>
    </w:p>
    <w:p>
      <w:pPr>
        <w:pStyle w:val="5"/>
        <w:numPr>
          <w:ilvl w:val="0"/>
          <w:numId w:val="3"/>
        </w:numPr>
        <w:rPr>
          <w:rFonts w:hAnsi="宋体"/>
          <w:sz w:val="21"/>
          <w:szCs w:val="21"/>
        </w:rPr>
      </w:pPr>
      <w:bookmarkStart w:id="14" w:name="_Toc7328"/>
      <w:r>
        <w:rPr>
          <w:rFonts w:hint="eastAsia" w:hAnsi="宋体"/>
          <w:sz w:val="21"/>
          <w:szCs w:val="21"/>
        </w:rPr>
        <w:t>质量安全</w:t>
      </w:r>
      <w:bookmarkEnd w:id="14"/>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公司根据《中华人民共和国产品质量法》《环境保护法》《安全生产法》《消防法》等法律法规要求，建立健全质量管理体系和企业标准管理体系，有效运行GB/T 19001质量管理体系，制定作业指导书、检验规范等，持续提升质量管理水平。公司运用LEC、KYT等方法对产品制造全过程进行风险识别、评价和明确控制措施，形成了从研发、采购、生产、检测、包装、转运交付到客户服务等全过程质量安全保证体系。根据GB/T 19001 的要求进行实施，加强日常维护工作，定期组织内审、管理评审，以便及时发现管理中的不足并作出改善。目前在体系管理中，各部门职责清晰、流程完善、质量目标得到了提升。</w:t>
      </w:r>
    </w:p>
    <w:p>
      <w:pPr>
        <w:pStyle w:val="5"/>
        <w:numPr>
          <w:ilvl w:val="0"/>
          <w:numId w:val="3"/>
        </w:numPr>
        <w:rPr>
          <w:rFonts w:hAnsi="宋体"/>
          <w:sz w:val="21"/>
          <w:szCs w:val="21"/>
        </w:rPr>
      </w:pPr>
      <w:bookmarkStart w:id="15" w:name="_Toc13294"/>
      <w:r>
        <w:rPr>
          <w:rFonts w:hint="eastAsia" w:hAnsi="宋体"/>
          <w:sz w:val="21"/>
          <w:szCs w:val="21"/>
        </w:rPr>
        <w:t>员工权益</w:t>
      </w:r>
      <w:bookmarkEnd w:id="15"/>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公司坚持把“以人为本”作为人力资源的管理理念，视员工为公司最为宝贵的财富，为员工提供实现自我价值的平台，积极推进员工教育培训工作科学化、规范化、制度化，每年开展新入员工、在职、技能职称的培训学习，并为员工创造良好晋升环境。截止202</w:t>
      </w:r>
      <w:r>
        <w:rPr>
          <w:rFonts w:hint="eastAsia" w:ascii="宋体" w:hAnsi="宋体" w:cs="宋体"/>
          <w:color w:val="000000"/>
          <w:sz w:val="21"/>
          <w:szCs w:val="21"/>
          <w:lang w:val="en-US" w:eastAsia="zh-CN"/>
        </w:rPr>
        <w:t>4</w:t>
      </w:r>
      <w:r>
        <w:rPr>
          <w:rFonts w:hint="eastAsia" w:ascii="宋体" w:hAnsi="宋体" w:cs="宋体"/>
          <w:color w:val="000000"/>
          <w:sz w:val="21"/>
          <w:szCs w:val="21"/>
        </w:rPr>
        <w:t>年</w:t>
      </w:r>
      <w:r>
        <w:rPr>
          <w:rFonts w:hint="eastAsia" w:ascii="宋体" w:hAnsi="宋体" w:cs="宋体"/>
          <w:color w:val="000000"/>
          <w:sz w:val="21"/>
          <w:szCs w:val="21"/>
          <w:lang w:val="en-US" w:eastAsia="zh-CN"/>
        </w:rPr>
        <w:t>3</w:t>
      </w:r>
      <w:r>
        <w:rPr>
          <w:rFonts w:hint="eastAsia" w:ascii="宋体" w:hAnsi="宋体" w:cs="宋体"/>
          <w:color w:val="000000"/>
          <w:sz w:val="21"/>
          <w:szCs w:val="21"/>
        </w:rPr>
        <w:t>月，公司有职工</w:t>
      </w:r>
      <w:r>
        <w:rPr>
          <w:rFonts w:hint="default" w:ascii="宋体" w:hAnsi="宋体" w:cs="宋体"/>
          <w:color w:val="000000"/>
          <w:sz w:val="21"/>
          <w:szCs w:val="21"/>
        </w:rPr>
        <w:t>310</w:t>
      </w:r>
      <w:r>
        <w:rPr>
          <w:rFonts w:hint="eastAsia" w:ascii="宋体" w:hAnsi="宋体" w:cs="宋体"/>
          <w:color w:val="000000"/>
          <w:sz w:val="21"/>
          <w:szCs w:val="21"/>
          <w:highlight w:val="none"/>
        </w:rPr>
        <w:t>人，其中技术和管理人员占比</w:t>
      </w:r>
      <w:r>
        <w:rPr>
          <w:rFonts w:hint="eastAsia" w:ascii="宋体" w:hAnsi="宋体" w:cs="宋体"/>
          <w:color w:val="000000"/>
          <w:sz w:val="21"/>
          <w:szCs w:val="21"/>
          <w:highlight w:val="none"/>
          <w:lang w:val="en-US" w:eastAsia="zh-CN"/>
        </w:rPr>
        <w:t>20</w:t>
      </w:r>
      <w:r>
        <w:rPr>
          <w:rFonts w:hint="eastAsia" w:ascii="宋体" w:hAnsi="宋体" w:cs="宋体"/>
          <w:color w:val="000000"/>
          <w:sz w:val="21"/>
          <w:szCs w:val="21"/>
          <w:highlight w:val="none"/>
        </w:rPr>
        <w:t>%</w:t>
      </w:r>
      <w:r>
        <w:rPr>
          <w:rFonts w:hint="eastAsia" w:ascii="宋体" w:hAnsi="宋体" w:cs="宋体"/>
          <w:color w:val="000000"/>
          <w:sz w:val="21"/>
          <w:szCs w:val="21"/>
        </w:rPr>
        <w:t>以上。</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rPr>
        <w:t>企业的竞争就是人才的竞争，</w:t>
      </w:r>
      <w:r>
        <w:rPr>
          <w:rFonts w:hint="eastAsia" w:ascii="宋体" w:hAnsi="宋体" w:cs="宋体"/>
          <w:color w:val="000000"/>
          <w:sz w:val="21"/>
          <w:szCs w:val="21"/>
          <w:lang w:eastAsia="zh-CN"/>
        </w:rPr>
        <w:t>正峰</w:t>
      </w:r>
      <w:r>
        <w:rPr>
          <w:rFonts w:hint="eastAsia" w:ascii="宋体" w:hAnsi="宋体" w:cs="宋体"/>
          <w:color w:val="000000"/>
          <w:sz w:val="21"/>
          <w:szCs w:val="21"/>
        </w:rPr>
        <w:t>一贯坚持“以人为本”，全面维护员工的合法权益，始终努力为员工营造和谐、愉悦的工作氛围，为员工提供有竞争力的薪酬福利，并随着公司整体业绩的提升而联动提升；为员工提供广阔的职业发展空间、周到的职业保护和专业高效的培训，使员工与公司成为利益、事业和命运共同体。公司每逢元旦、春节、元宵节、生日等节日为员工发放礼品和红包。</w:t>
      </w:r>
    </w:p>
    <w:p>
      <w:pPr>
        <w:tabs>
          <w:tab w:val="left" w:pos="3654"/>
        </w:tabs>
        <w:adjustRightInd w:val="0"/>
        <w:snapToGrid w:val="0"/>
        <w:spacing w:line="360" w:lineRule="auto"/>
        <w:ind w:firstLine="420" w:firstLineChars="200"/>
        <w:jc w:val="left"/>
        <w:rPr>
          <w:rFonts w:hint="eastAsia" w:ascii="宋体" w:hAnsi="宋体" w:cs="宋体"/>
          <w:color w:val="000000"/>
          <w:sz w:val="21"/>
          <w:szCs w:val="21"/>
        </w:rPr>
      </w:pPr>
      <w:r>
        <w:rPr>
          <w:rFonts w:hint="eastAsia" w:ascii="宋体" w:hAnsi="宋体" w:cs="宋体"/>
          <w:color w:val="000000"/>
          <w:sz w:val="21"/>
          <w:szCs w:val="21"/>
          <w:lang w:eastAsia="zh-CN"/>
        </w:rPr>
        <w:t>正峰</w:t>
      </w:r>
      <w:r>
        <w:rPr>
          <w:rFonts w:hint="eastAsia" w:ascii="宋体" w:hAnsi="宋体" w:cs="宋体"/>
          <w:color w:val="000000"/>
          <w:sz w:val="21"/>
          <w:szCs w:val="21"/>
        </w:rPr>
        <w:t>通过职工满意度、合理化建议、投诉意见箱等方式识别员工需求，以影响员工权益、满意程度和积极性的关键因素为依据，提供系统性管理政策、后勤服务和福利，满足不同层级、不同类型员工的个性化需求。一系列别具特色的支持与激励措施为</w:t>
      </w:r>
      <w:r>
        <w:rPr>
          <w:rFonts w:hint="eastAsia" w:ascii="宋体" w:hAnsi="宋体" w:cs="宋体"/>
          <w:color w:val="000000"/>
          <w:sz w:val="21"/>
          <w:szCs w:val="21"/>
          <w:lang w:eastAsia="zh-CN"/>
        </w:rPr>
        <w:t>正峰</w:t>
      </w:r>
      <w:r>
        <w:rPr>
          <w:rFonts w:hint="eastAsia" w:ascii="宋体" w:hAnsi="宋体" w:cs="宋体"/>
          <w:color w:val="000000"/>
          <w:sz w:val="21"/>
          <w:szCs w:val="21"/>
        </w:rPr>
        <w:t>各级员工营造了和谐的工作氛围、提供了广阔的发展空间，使他们积极进取，保持旺盛的工作热情，在</w:t>
      </w:r>
      <w:r>
        <w:rPr>
          <w:rFonts w:hint="eastAsia" w:ascii="宋体" w:hAnsi="宋体" w:cs="宋体"/>
          <w:color w:val="000000"/>
          <w:sz w:val="21"/>
          <w:szCs w:val="21"/>
          <w:lang w:eastAsia="zh-CN"/>
        </w:rPr>
        <w:t>正峰</w:t>
      </w:r>
      <w:r>
        <w:rPr>
          <w:rFonts w:hint="eastAsia" w:ascii="宋体" w:hAnsi="宋体" w:cs="宋体"/>
          <w:color w:val="000000"/>
          <w:sz w:val="21"/>
          <w:szCs w:val="21"/>
        </w:rPr>
        <w:t>充分发挥聪明才智。</w:t>
      </w:r>
    </w:p>
    <w:p>
      <w:pPr>
        <w:pStyle w:val="5"/>
        <w:numPr>
          <w:ilvl w:val="0"/>
          <w:numId w:val="3"/>
        </w:numPr>
        <w:rPr>
          <w:rFonts w:hAnsi="宋体"/>
        </w:rPr>
      </w:pPr>
      <w:bookmarkStart w:id="16" w:name="_Toc18215"/>
      <w:r>
        <w:rPr>
          <w:rFonts w:hint="eastAsia" w:hAnsi="宋体"/>
        </w:rPr>
        <w:t>公益支持</w:t>
      </w:r>
      <w:bookmarkEnd w:id="16"/>
    </w:p>
    <w:p>
      <w:pPr>
        <w:tabs>
          <w:tab w:val="left" w:pos="3654"/>
        </w:tabs>
        <w:adjustRightInd w:val="0"/>
        <w:snapToGrid w:val="0"/>
        <w:spacing w:line="360" w:lineRule="auto"/>
        <w:ind w:firstLine="420" w:firstLineChars="200"/>
        <w:jc w:val="left"/>
        <w:rPr>
          <w:rFonts w:hint="default"/>
          <w:lang w:val="en-US" w:eastAsia="zh-CN"/>
        </w:rPr>
      </w:pPr>
      <w:r>
        <w:rPr>
          <w:rFonts w:hint="eastAsia" w:ascii="宋体" w:hAnsi="宋体" w:cs="宋体"/>
          <w:color w:val="000000"/>
          <w:sz w:val="21"/>
          <w:szCs w:val="21"/>
          <w:lang w:eastAsia="zh-CN"/>
        </w:rPr>
        <w:t>正峰</w:t>
      </w:r>
      <w:r>
        <w:rPr>
          <w:rFonts w:hint="eastAsia" w:ascii="宋体" w:hAnsi="宋体" w:cs="宋体"/>
          <w:color w:val="000000"/>
          <w:sz w:val="21"/>
          <w:szCs w:val="21"/>
        </w:rPr>
        <w:t>高层领导认为公司的发展和财富的积累来源于社会，企业取得的每一项进步和成效都得益于各级领导的呵护和关心，都离不开社会各界的厚爱和支持。因此，自成立以来，</w:t>
      </w:r>
      <w:r>
        <w:rPr>
          <w:rFonts w:hint="eastAsia" w:ascii="宋体" w:hAnsi="宋体" w:cs="宋体"/>
          <w:color w:val="000000"/>
          <w:sz w:val="21"/>
          <w:szCs w:val="21"/>
          <w:lang w:eastAsia="zh-CN"/>
        </w:rPr>
        <w:t>正峰</w:t>
      </w:r>
      <w:r>
        <w:rPr>
          <w:rFonts w:hint="eastAsia" w:ascii="宋体" w:hAnsi="宋体" w:cs="宋体"/>
          <w:color w:val="000000"/>
          <w:sz w:val="21"/>
          <w:szCs w:val="21"/>
        </w:rPr>
        <w:t>始终坚持“做仁义企业，做良心企业，做消费者信赖同时懂得感恩社会的企业”的信念，积极支持国家和地方的公益事业，在赈灾救助、捐资助教、新农村建设、扶病帮困等方面善举不断，各项捐资累计达数万元。使公司在社会上的知名度、美誉度得到了不断的提高，公司的凝聚力也得到了不断的增强。</w:t>
      </w:r>
    </w:p>
    <w:p>
      <w:pPr>
        <w:pStyle w:val="5"/>
        <w:numPr>
          <w:ilvl w:val="0"/>
          <w:numId w:val="3"/>
        </w:numPr>
        <w:rPr>
          <w:rFonts w:hAnsi="宋体"/>
        </w:rPr>
      </w:pPr>
      <w:bookmarkStart w:id="17" w:name="_Toc9984"/>
      <w:r>
        <w:rPr>
          <w:rFonts w:hint="eastAsia" w:hAnsi="宋体"/>
        </w:rPr>
        <w:t>社会荣誉</w:t>
      </w:r>
      <w:bookmarkEnd w:id="17"/>
    </w:p>
    <w:p>
      <w:pPr>
        <w:spacing w:line="440" w:lineRule="exact"/>
        <w:ind w:firstLine="440" w:firstLineChars="200"/>
        <w:jc w:val="left"/>
        <w:rPr>
          <w:rFonts w:hint="eastAsia" w:eastAsiaTheme="minorEastAsia"/>
          <w:lang w:eastAsia="zh-CN"/>
        </w:rPr>
      </w:pPr>
      <w:r>
        <w:rPr>
          <w:rFonts w:hint="eastAsia"/>
          <w:lang w:val="en-US" w:eastAsia="zh-CN"/>
        </w:rPr>
        <w:t>作为高新技术企业，</w:t>
      </w:r>
      <w:r>
        <w:rPr>
          <w:rFonts w:hint="eastAsia"/>
        </w:rPr>
        <w:t>公司</w:t>
      </w:r>
      <w:r>
        <w:rPr>
          <w:rFonts w:hint="eastAsia"/>
          <w:lang w:val="en-US" w:eastAsia="zh-CN"/>
        </w:rPr>
        <w:t>建立</w:t>
      </w:r>
      <w:r>
        <w:rPr>
          <w:rFonts w:hint="eastAsia"/>
        </w:rPr>
        <w:t>ISO9001质量管理体系</w:t>
      </w:r>
      <w:r>
        <w:rPr>
          <w:rFonts w:hint="eastAsia"/>
          <w:lang w:eastAsia="zh-CN"/>
        </w:rPr>
        <w:t>、</w:t>
      </w:r>
      <w:r>
        <w:rPr>
          <w:rFonts w:hint="eastAsia"/>
        </w:rPr>
        <w:t>ISO14001环境管理体系和</w:t>
      </w:r>
      <w:r>
        <w:rPr>
          <w:rFonts w:hint="eastAsia"/>
          <w:lang w:val="en-US" w:eastAsia="zh-CN"/>
        </w:rPr>
        <w:t>ISO45</w:t>
      </w:r>
      <w:r>
        <w:rPr>
          <w:rFonts w:hint="eastAsia"/>
        </w:rPr>
        <w:t>001职业健康安全管理体系认证</w:t>
      </w:r>
      <w:r>
        <w:rPr>
          <w:rFonts w:hint="eastAsia"/>
          <w:lang w:eastAsia="zh-CN"/>
        </w:rPr>
        <w:t>，</w:t>
      </w:r>
      <w:r>
        <w:rPr>
          <w:rFonts w:hint="eastAsia" w:ascii="宋体" w:hAnsi="宋体"/>
          <w:sz w:val="24"/>
        </w:rPr>
        <w:t>公司先后被认定为</w:t>
      </w:r>
      <w:r>
        <w:rPr>
          <w:rFonts w:hint="default" w:ascii="宋体" w:hAnsi="宋体"/>
          <w:sz w:val="24"/>
        </w:rPr>
        <w:t>台州市级自主创新（项目）试点企业、市级</w:t>
      </w:r>
      <w:r>
        <w:rPr>
          <w:rFonts w:hint="eastAsia" w:ascii="宋体" w:hAnsi="宋体"/>
          <w:sz w:val="24"/>
        </w:rPr>
        <w:t>高新技术</w:t>
      </w:r>
      <w:r>
        <w:rPr>
          <w:rFonts w:hint="default" w:ascii="宋体" w:hAnsi="宋体"/>
          <w:sz w:val="24"/>
        </w:rPr>
        <w:t>研究开发中心</w:t>
      </w:r>
      <w:r>
        <w:rPr>
          <w:rFonts w:hint="eastAsia" w:ascii="宋体" w:hAnsi="宋体"/>
          <w:sz w:val="24"/>
        </w:rPr>
        <w:t>、</w:t>
      </w:r>
      <w:r>
        <w:rPr>
          <w:rFonts w:hint="default" w:ascii="宋体" w:hAnsi="宋体"/>
          <w:sz w:val="24"/>
        </w:rPr>
        <w:t>省级高新技术企业研究开发中心</w:t>
      </w:r>
      <w:r>
        <w:rPr>
          <w:rFonts w:hint="eastAsia" w:ascii="宋体" w:hAnsi="宋体"/>
          <w:sz w:val="24"/>
        </w:rPr>
        <w:t>等，</w:t>
      </w:r>
      <w:r>
        <w:rPr>
          <w:rFonts w:hint="eastAsia" w:ascii="宋体" w:hAnsi="宋体"/>
          <w:sz w:val="24"/>
          <w:lang w:val="en-US" w:eastAsia="zh-CN"/>
        </w:rPr>
        <w:t>已</w:t>
      </w:r>
      <w:r>
        <w:rPr>
          <w:rFonts w:hint="eastAsia" w:ascii="宋体" w:hAnsi="宋体"/>
          <w:sz w:val="24"/>
        </w:rPr>
        <w:t>成为行业领军企业</w:t>
      </w:r>
      <w:r>
        <w:rPr>
          <w:rFonts w:hint="eastAsia" w:ascii="宋体" w:hAnsi="宋体" w:eastAsia="宋体" w:cs="宋体"/>
          <w:b w:val="0"/>
          <w:bCs/>
          <w:color w:val="000000"/>
          <w:kern w:val="2"/>
          <w:sz w:val="24"/>
          <w:szCs w:val="24"/>
          <w:highlight w:val="none"/>
          <w:lang w:val="en-US" w:eastAsia="zh-CN" w:bidi="ar-SA"/>
        </w:rPr>
        <w:t>。</w:t>
      </w:r>
      <w:r>
        <w:rPr>
          <w:rFonts w:hint="eastAsia" w:ascii="宋体" w:hAnsi="宋体"/>
          <w:sz w:val="24"/>
        </w:rPr>
        <w:t>公司产品部分核心性能指标已达到国际先进水平</w:t>
      </w:r>
      <w:r>
        <w:rPr>
          <w:rFonts w:hint="eastAsia" w:ascii="宋体" w:hAnsi="宋体"/>
          <w:sz w:val="24"/>
          <w:lang w:eastAsia="zh-CN"/>
        </w:rPr>
        <w:t>。</w:t>
      </w:r>
    </w:p>
    <w:p>
      <w:pPr>
        <w:snapToGrid w:val="0"/>
        <w:spacing w:line="360" w:lineRule="auto"/>
        <w:jc w:val="center"/>
        <w:rPr>
          <w:rFonts w:hint="eastAsia" w:ascii="Times New Roman" w:hAnsi="Times New Roman"/>
          <w:b/>
          <w:sz w:val="24"/>
          <w:szCs w:val="24"/>
          <w:lang w:val="en-US" w:eastAsia="zh-Hans"/>
        </w:rPr>
      </w:pPr>
      <w:r>
        <w:rPr>
          <w:rFonts w:hint="eastAsia" w:ascii="Times New Roman" w:hAnsi="Times New Roman"/>
          <w:b/>
          <w:sz w:val="24"/>
          <w:szCs w:val="24"/>
          <w:lang w:val="en-US" w:eastAsia="zh-Hans"/>
        </w:rPr>
        <w:t>荣誉证书</w:t>
      </w:r>
    </w:p>
    <w:p>
      <w:pPr>
        <w:spacing w:line="360" w:lineRule="auto"/>
        <w:ind w:left="4830" w:hanging="5060" w:hangingChars="2300"/>
        <w:jc w:val="center"/>
      </w:pPr>
      <w:r>
        <w:drawing>
          <wp:inline distT="0" distB="0" distL="114300" distR="114300">
            <wp:extent cx="2391410" cy="1541145"/>
            <wp:effectExtent l="0" t="0" r="8890" b="190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5"/>
                    <a:stretch>
                      <a:fillRect/>
                    </a:stretch>
                  </pic:blipFill>
                  <pic:spPr>
                    <a:xfrm>
                      <a:off x="0" y="0"/>
                      <a:ext cx="2391410" cy="1541145"/>
                    </a:xfrm>
                    <a:prstGeom prst="rect">
                      <a:avLst/>
                    </a:prstGeom>
                    <a:noFill/>
                    <a:ln>
                      <a:noFill/>
                    </a:ln>
                  </pic:spPr>
                </pic:pic>
              </a:graphicData>
            </a:graphic>
          </wp:inline>
        </w:drawing>
      </w:r>
      <w:r>
        <w:drawing>
          <wp:inline distT="0" distB="0" distL="114300" distR="114300">
            <wp:extent cx="2295525" cy="1543050"/>
            <wp:effectExtent l="0" t="0" r="9525"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1"/>
                    <a:stretch>
                      <a:fillRect/>
                    </a:stretch>
                  </pic:blipFill>
                  <pic:spPr>
                    <a:xfrm>
                      <a:off x="0" y="0"/>
                      <a:ext cx="2295525" cy="1543050"/>
                    </a:xfrm>
                    <a:prstGeom prst="rect">
                      <a:avLst/>
                    </a:prstGeom>
                    <a:noFill/>
                    <a:ln>
                      <a:noFill/>
                    </a:ln>
                  </pic:spPr>
                </pic:pic>
              </a:graphicData>
            </a:graphic>
          </wp:inline>
        </w:drawing>
      </w:r>
    </w:p>
    <w:p>
      <w:pPr>
        <w:spacing w:line="360" w:lineRule="auto"/>
        <w:ind w:left="4830" w:hanging="5060" w:hangingChars="2300"/>
        <w:jc w:val="center"/>
        <w:rPr>
          <w:rFonts w:ascii="Verdana" w:hAnsi="Verdana" w:cs="宋体"/>
          <w:color w:val="000000"/>
          <w:sz w:val="28"/>
          <w:szCs w:val="28"/>
        </w:rPr>
      </w:pPr>
      <w:r>
        <w:rPr>
          <w:rFonts w:hint="eastAsia" w:eastAsia="宋体"/>
          <w:lang w:eastAsia="zh-CN"/>
        </w:rPr>
        <w:drawing>
          <wp:inline distT="0" distB="0" distL="114300" distR="114300">
            <wp:extent cx="2294255" cy="1641475"/>
            <wp:effectExtent l="0" t="0" r="1270" b="6350"/>
            <wp:docPr id="17" name="图片 14" descr="dcda7a4d190d6c64f49cfc73270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dcda7a4d190d6c64f49cfc732701792"/>
                    <pic:cNvPicPr>
                      <a:picLocks noChangeAspect="1"/>
                    </pic:cNvPicPr>
                  </pic:nvPicPr>
                  <pic:blipFill>
                    <a:blip r:embed="rId16"/>
                    <a:stretch>
                      <a:fillRect/>
                    </a:stretch>
                  </pic:blipFill>
                  <pic:spPr>
                    <a:xfrm>
                      <a:off x="0" y="0"/>
                      <a:ext cx="2294255" cy="1641475"/>
                    </a:xfrm>
                    <a:prstGeom prst="rect">
                      <a:avLst/>
                    </a:prstGeom>
                    <a:noFill/>
                    <a:ln>
                      <a:noFill/>
                    </a:ln>
                  </pic:spPr>
                </pic:pic>
              </a:graphicData>
            </a:graphic>
          </wp:inline>
        </w:drawing>
      </w:r>
      <w:r>
        <w:rPr>
          <w:rFonts w:ascii="Verdana" w:hAnsi="Verdana" w:cs="宋体"/>
          <w:color w:val="000000"/>
          <w:sz w:val="28"/>
          <w:szCs w:val="28"/>
        </w:rPr>
        <w:drawing>
          <wp:inline distT="0" distB="0" distL="114300" distR="114300">
            <wp:extent cx="2409825" cy="1595755"/>
            <wp:effectExtent l="0" t="0" r="9525" b="4445"/>
            <wp:docPr id="40" name="图片 5" descr="156678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1566781538(1)"/>
                    <pic:cNvPicPr>
                      <a:picLocks noChangeAspect="1"/>
                    </pic:cNvPicPr>
                  </pic:nvPicPr>
                  <pic:blipFill>
                    <a:blip r:embed="rId22"/>
                    <a:stretch>
                      <a:fillRect/>
                    </a:stretch>
                  </pic:blipFill>
                  <pic:spPr>
                    <a:xfrm>
                      <a:off x="0" y="0"/>
                      <a:ext cx="2409825" cy="1595755"/>
                    </a:xfrm>
                    <a:prstGeom prst="rect">
                      <a:avLst/>
                    </a:prstGeom>
                    <a:noFill/>
                    <a:ln>
                      <a:noFill/>
                    </a:ln>
                  </pic:spPr>
                </pic:pic>
              </a:graphicData>
            </a:graphic>
          </wp:inline>
        </w:drawing>
      </w:r>
    </w:p>
    <w:p>
      <w:pPr>
        <w:pStyle w:val="2"/>
        <w:ind w:left="0" w:leftChars="0" w:firstLine="0" w:firstLineChars="0"/>
        <w:jc w:val="center"/>
      </w:pPr>
    </w:p>
    <w:p>
      <w:pPr>
        <w:spacing w:line="360" w:lineRule="auto"/>
        <w:ind w:left="4830" w:hanging="5060" w:hangingChars="2300"/>
        <w:jc w:val="center"/>
        <w:rPr>
          <w:rFonts w:hint="eastAsia" w:eastAsia="宋体"/>
          <w:lang w:eastAsia="zh-CN"/>
        </w:rPr>
      </w:pPr>
    </w:p>
    <w:p>
      <w:pPr>
        <w:spacing w:line="360" w:lineRule="auto"/>
        <w:ind w:left="4830" w:hanging="5060" w:hangingChars="2300"/>
        <w:jc w:val="center"/>
      </w:pPr>
    </w:p>
    <w:p>
      <w:pPr>
        <w:keepNext w:val="0"/>
        <w:keepLines w:val="0"/>
        <w:widowControl/>
        <w:suppressLineNumbers w:val="0"/>
        <w:spacing w:before="0" w:beforeAutospacing="0" w:after="0" w:afterAutospacing="0" w:line="315" w:lineRule="atLeast"/>
        <w:ind w:left="0" w:leftChars="0" w:right="0" w:firstLine="0" w:firstLineChars="0"/>
        <w:jc w:val="center"/>
        <w:rPr>
          <w:rFonts w:hint="default" w:ascii="Calibri" w:hAnsi="Calibri" w:cs="Calibri"/>
          <w:sz w:val="21"/>
          <w:szCs w:val="21"/>
        </w:rPr>
      </w:pPr>
    </w:p>
    <w:p>
      <w:pPr>
        <w:pStyle w:val="2"/>
        <w:ind w:left="0" w:leftChars="0" w:firstLine="0" w:firstLineChars="0"/>
      </w:pPr>
    </w:p>
    <w:p>
      <w:pPr>
        <w:pStyle w:val="2"/>
        <w:rPr>
          <w:rFonts w:hint="eastAsia"/>
          <w:lang w:val="en-US" w:eastAsia="zh-Hans"/>
        </w:rPr>
      </w:pPr>
    </w:p>
    <w:p>
      <w:pPr>
        <w:pStyle w:val="4"/>
        <w:keepNext/>
        <w:keepLines/>
        <w:pageBreakBefore/>
        <w:widowControl/>
        <w:kinsoku/>
        <w:wordWrap/>
        <w:overflowPunct/>
        <w:topLinePunct w:val="0"/>
        <w:autoSpaceDE/>
        <w:autoSpaceDN/>
        <w:bidi w:val="0"/>
        <w:adjustRightInd/>
        <w:snapToGrid/>
        <w:spacing w:after="240"/>
        <w:jc w:val="center"/>
        <w:textAlignment w:val="auto"/>
      </w:pPr>
      <w:bookmarkStart w:id="18" w:name="_Toc528402785"/>
      <w:bookmarkStart w:id="19" w:name="_Toc3101"/>
      <w:r>
        <w:rPr>
          <w:rFonts w:hint="eastAsia"/>
        </w:rPr>
        <w:t>四、</w:t>
      </w:r>
      <w:bookmarkEnd w:id="18"/>
      <w:r>
        <w:rPr>
          <w:rFonts w:hint="eastAsia"/>
        </w:rPr>
        <w:t>安全环境责任</w:t>
      </w:r>
      <w:bookmarkEnd w:id="19"/>
    </w:p>
    <w:p>
      <w:pPr>
        <w:pStyle w:val="5"/>
        <w:numPr>
          <w:ilvl w:val="0"/>
          <w:numId w:val="4"/>
        </w:numPr>
        <w:rPr>
          <w:rFonts w:cs="宋体" w:asciiTheme="minorEastAsia" w:hAnsiTheme="minorEastAsia"/>
          <w:color w:val="000000"/>
        </w:rPr>
      </w:pPr>
      <w:bookmarkStart w:id="20" w:name="_Toc6972"/>
      <w:r>
        <w:rPr>
          <w:rFonts w:hint="eastAsia" w:cs="宋体" w:asciiTheme="minorEastAsia" w:hAnsiTheme="minorEastAsia"/>
          <w:color w:val="000000"/>
        </w:rPr>
        <w:t>环境保护</w:t>
      </w:r>
      <w:bookmarkEnd w:id="20"/>
    </w:p>
    <w:p>
      <w:pPr>
        <w:ind w:firstLine="420" w:firstLineChars="0"/>
        <w:rPr>
          <w:rFonts w:hint="eastAsia"/>
        </w:rPr>
      </w:pPr>
      <w:r>
        <w:rPr>
          <w:rFonts w:hint="eastAsia"/>
        </w:rPr>
        <w:t>公司所处于行业不属于高危险、重污染行业。自成立以来，公司仍一直十分重视环境保护，坚持保护环境与发展企业同步走，实现“发展与环保双赢”，在产品研发时，运用产品生命周期理论设计产品的性能、使用的材料、回收等环保性要求。公司生产中所产生污染物较少，主要为噪声和固体废弃物，不存在重污染的情况。</w:t>
      </w:r>
    </w:p>
    <w:p>
      <w:pPr>
        <w:ind w:firstLine="420" w:firstLineChars="0"/>
      </w:pPr>
      <w:r>
        <w:rPr>
          <w:rFonts w:hint="eastAsia"/>
        </w:rPr>
        <w:t>公司已按GB/T 24001—2016</w:t>
      </w:r>
      <w:r>
        <w:rPr>
          <w:rFonts w:hint="eastAsia"/>
          <w:lang w:eastAsia="zh-CN"/>
        </w:rPr>
        <w:t>、</w:t>
      </w:r>
      <w:r>
        <w:rPr>
          <w:rFonts w:hint="eastAsia"/>
          <w:lang w:val="en-US" w:eastAsia="zh-CN"/>
        </w:rPr>
        <w:t>GB/T45001-2020</w:t>
      </w:r>
      <w:r>
        <w:rPr>
          <w:rFonts w:hint="eastAsia"/>
        </w:rPr>
        <w:t>标准建立环境</w:t>
      </w:r>
      <w:r>
        <w:rPr>
          <w:rFonts w:hint="eastAsia"/>
          <w:lang w:val="en-US" w:eastAsia="zh-CN"/>
        </w:rPr>
        <w:t>和安全</w:t>
      </w:r>
      <w:r>
        <w:rPr>
          <w:rFonts w:hint="eastAsia"/>
        </w:rPr>
        <w:t>管理体系，按照</w:t>
      </w:r>
      <w:r>
        <w:rPr>
          <w:rFonts w:hint="eastAsia"/>
          <w:lang w:eastAsia="zh-CN"/>
        </w:rPr>
        <w:t>《</w:t>
      </w:r>
      <w:r>
        <w:rPr>
          <w:rFonts w:hint="eastAsia"/>
          <w:lang w:val="en-US" w:eastAsia="zh-CN"/>
        </w:rPr>
        <w:t>环境、职业健康安全运行控制程序》</w:t>
      </w:r>
      <w:r>
        <w:rPr>
          <w:rFonts w:hint="eastAsia"/>
        </w:rPr>
        <w:t>对公司环境</w:t>
      </w:r>
      <w:r>
        <w:rPr>
          <w:rFonts w:hint="eastAsia"/>
          <w:lang w:val="en-US" w:eastAsia="zh-CN"/>
        </w:rPr>
        <w:t>和安全</w:t>
      </w:r>
      <w:r>
        <w:rPr>
          <w:rFonts w:hint="eastAsia"/>
        </w:rPr>
        <w:t>管理体系的运行绩效实施定期和不定期的检查，进一步提升公司的“绿色水平”。</w:t>
      </w:r>
    </w:p>
    <w:p>
      <w:pPr>
        <w:pStyle w:val="5"/>
        <w:numPr>
          <w:ilvl w:val="0"/>
          <w:numId w:val="4"/>
        </w:numPr>
        <w:rPr>
          <w:rFonts w:cs="宋体" w:asciiTheme="minorEastAsia" w:hAnsiTheme="minorEastAsia"/>
          <w:color w:val="000000"/>
        </w:rPr>
      </w:pPr>
      <w:bookmarkStart w:id="21" w:name="_Toc3371"/>
      <w:r>
        <w:rPr>
          <w:rFonts w:hint="eastAsia" w:cs="宋体" w:asciiTheme="minorEastAsia" w:hAnsiTheme="minorEastAsia"/>
          <w:color w:val="000000"/>
        </w:rPr>
        <w:t>节约资源</w:t>
      </w:r>
      <w:bookmarkEnd w:id="21"/>
    </w:p>
    <w:p>
      <w:pPr>
        <w:ind w:firstLine="420" w:firstLineChars="0"/>
        <w:rPr>
          <w:rFonts w:hint="eastAsia"/>
        </w:rPr>
      </w:pPr>
      <w:r>
        <w:rPr>
          <w:rFonts w:hint="eastAsia"/>
        </w:rPr>
        <w:t>公司坚持技术革新，节能减排，力争把公司发展对环境的影响降到最小程度。公司通过环保宣传、技术创新、制定相关程序并严格遵守相关法律法规将节能环保的意识深入到企业的日常运营与生产中。此外，公司还将节能环保等理念通过宣传栏、横幅等形式进行宣传，为提升员工在节能降耗、环境保护的主动意识，鼓励员工在工作和生活中养成自觉节约用电、用水、用纸、用油的习惯。公司通过对打印、复印集合统一管理，纸张双面综合重复利用，墨盒、硒鼓以旧换新等，节约了大量纸张、墨盒消耗，减少资源占用。</w:t>
      </w:r>
    </w:p>
    <w:p>
      <w:pPr>
        <w:pStyle w:val="5"/>
        <w:numPr>
          <w:ilvl w:val="0"/>
          <w:numId w:val="4"/>
        </w:numPr>
        <w:rPr>
          <w:rFonts w:cs="宋体" w:asciiTheme="minorEastAsia" w:hAnsiTheme="minorEastAsia"/>
          <w:color w:val="000000"/>
        </w:rPr>
      </w:pPr>
      <w:bookmarkStart w:id="22" w:name="_Toc2410"/>
      <w:r>
        <w:rPr>
          <w:rFonts w:hint="eastAsia" w:cs="宋体" w:asciiTheme="minorEastAsia" w:hAnsiTheme="minorEastAsia"/>
          <w:color w:val="000000"/>
        </w:rPr>
        <w:t>健康与安全管理</w:t>
      </w:r>
      <w:bookmarkEnd w:id="22"/>
    </w:p>
    <w:p>
      <w:pPr>
        <w:ind w:firstLine="420" w:firstLineChars="0"/>
        <w:rPr>
          <w:rFonts w:hint="eastAsia"/>
        </w:rPr>
      </w:pPr>
      <w:r>
        <w:rPr>
          <w:rFonts w:hint="eastAsia"/>
        </w:rPr>
        <w:t>公司在生产过程中严格贯彻执行国家各项安全法规、制度和标准。公司设有职业健康安全事务代表，主要负责建立健全安全生产体系，制订安全操作规程，完善安全责任机制，落实安全防护措施，保障操作员工人身和企业财产的安全。在日常生产中，公司严格执行安全生产制度，报告期内未发生重大安全事故。</w:t>
      </w:r>
    </w:p>
    <w:p>
      <w:bookmarkStart w:id="23" w:name="_Toc20146"/>
      <w:r>
        <w:br w:type="page"/>
      </w:r>
    </w:p>
    <w:p>
      <w:pPr>
        <w:pStyle w:val="4"/>
        <w:spacing w:after="240"/>
        <w:jc w:val="center"/>
      </w:pPr>
      <w:r>
        <w:t>总结与展望</w:t>
      </w:r>
      <w:bookmarkEnd w:id="23"/>
    </w:p>
    <w:p>
      <w:pPr>
        <w:rPr>
          <w:rFonts w:hint="eastAsia"/>
        </w:rPr>
      </w:pPr>
      <w:r>
        <w:rPr>
          <w:rFonts w:hint="eastAsia"/>
        </w:rPr>
        <w:t>未来几年，公司将继续注重股东的资本增值和企业价值的提升，实现公司的可持续稳定健康发展。公司要以业务提升、管理升级为主线，巩固提升，稳健发展，拓市场、抓现场、重科研、强内控，努力打造技术领先、装备先进、管理科学、融资多元、极具品牌影响力的高度务实、负责、诚信、受人尊敬的企业。</w:t>
      </w:r>
    </w:p>
    <w:p>
      <w:pPr>
        <w:rPr>
          <w:rFonts w:hint="eastAsia"/>
        </w:rPr>
      </w:pPr>
      <w:r>
        <w:rPr>
          <w:rFonts w:hint="eastAsia"/>
        </w:rPr>
        <w:t>公司将加强安全生产管理， 杜绝安全生产事故； 加大安全生产投入，提高职工的职业健康水平。</w:t>
      </w:r>
    </w:p>
    <w:p>
      <w:pPr>
        <w:rPr>
          <w:rFonts w:hint="eastAsia"/>
        </w:rPr>
      </w:pPr>
      <w:r>
        <w:rPr>
          <w:rFonts w:hint="eastAsia"/>
        </w:rPr>
        <w:t>公司将积极推进绿色环保发展，开创环保科技创新，加快新技术、新技能、新设备的应用。努力建设资源节约型、环境友好型企业。</w:t>
      </w:r>
    </w:p>
    <w:p>
      <w:pPr>
        <w:rPr>
          <w:rFonts w:hint="eastAsia"/>
        </w:rPr>
      </w:pPr>
      <w:r>
        <w:rPr>
          <w:rFonts w:hint="eastAsia"/>
        </w:rPr>
        <w:t>公司将继续大力建设人才队伍，改变人才结构，提升员工素质；加强企业民主管理，让企业文化建设更上一层楼。</w:t>
      </w:r>
    </w:p>
    <w:p>
      <w:pPr>
        <w:rPr>
          <w:rFonts w:hint="eastAsia"/>
        </w:rPr>
      </w:pPr>
      <w:r>
        <w:rPr>
          <w:rFonts w:hint="eastAsia"/>
        </w:rPr>
        <w:t>公司将继续认真履行企业公民的社会责任，回馈社会，回报股东，赢得市场肯定和客户信赖，促进企业与社会和谐、协调发展。</w:t>
      </w:r>
    </w:p>
    <w:p>
      <w:pPr>
        <w:autoSpaceDE w:val="0"/>
        <w:autoSpaceDN w:val="0"/>
        <w:adjustRightInd w:val="0"/>
        <w:spacing w:line="360" w:lineRule="auto"/>
        <w:ind w:firstLine="560" w:firstLineChars="200"/>
        <w:jc w:val="left"/>
        <w:rPr>
          <w:rFonts w:cs="宋体" w:asciiTheme="minorEastAsia" w:hAnsiTheme="minorEastAsia"/>
          <w:color w:val="000000"/>
          <w:sz w:val="28"/>
          <w:szCs w:val="28"/>
        </w:rPr>
      </w:pPr>
    </w:p>
    <w:p>
      <w:pPr>
        <w:autoSpaceDE w:val="0"/>
        <w:autoSpaceDN w:val="0"/>
        <w:adjustRightInd w:val="0"/>
        <w:spacing w:line="360" w:lineRule="auto"/>
        <w:ind w:firstLine="560" w:firstLineChars="200"/>
        <w:jc w:val="left"/>
        <w:rPr>
          <w:rFonts w:cs="宋体" w:asciiTheme="minorEastAsia" w:hAnsiTheme="minorEastAsia"/>
          <w:color w:val="000000"/>
          <w:sz w:val="28"/>
          <w:szCs w:val="28"/>
        </w:rPr>
      </w:pPr>
    </w:p>
    <w:p>
      <w:pPr>
        <w:autoSpaceDE w:val="0"/>
        <w:autoSpaceDN w:val="0"/>
        <w:adjustRightInd w:val="0"/>
        <w:spacing w:line="360" w:lineRule="auto"/>
        <w:ind w:firstLine="560" w:firstLineChars="200"/>
        <w:jc w:val="right"/>
        <w:rPr>
          <w:rFonts w:hint="eastAsia" w:cs="宋体" w:asciiTheme="minorEastAsia" w:hAnsiTheme="minorEastAsia"/>
          <w:color w:val="000000"/>
          <w:sz w:val="28"/>
          <w:szCs w:val="28"/>
          <w:lang w:eastAsia="zh-CN"/>
        </w:rPr>
      </w:pPr>
      <w:r>
        <w:rPr>
          <w:rFonts w:hint="eastAsia" w:cs="宋体" w:asciiTheme="minorEastAsia" w:hAnsiTheme="minorEastAsia"/>
          <w:color w:val="000000"/>
          <w:sz w:val="28"/>
          <w:szCs w:val="28"/>
          <w:lang w:eastAsia="zh-CN"/>
        </w:rPr>
        <w:t>钱江集团温岭正峰动力有限公司</w:t>
      </w:r>
    </w:p>
    <w:p>
      <w:pPr>
        <w:autoSpaceDE w:val="0"/>
        <w:autoSpaceDN w:val="0"/>
        <w:adjustRightInd w:val="0"/>
        <w:spacing w:line="360" w:lineRule="auto"/>
        <w:ind w:firstLine="560" w:firstLineChars="200"/>
        <w:jc w:val="right"/>
        <w:rPr>
          <w:rFonts w:ascii="宋体" w:hAnsi="宋体" w:cs="宋体"/>
          <w:color w:val="000000"/>
          <w:sz w:val="24"/>
          <w:szCs w:val="24"/>
        </w:rPr>
      </w:pPr>
      <w:r>
        <w:rPr>
          <w:rFonts w:cs="宋体" w:asciiTheme="minorEastAsia" w:hAnsiTheme="minorEastAsia"/>
          <w:color w:val="000000"/>
          <w:sz w:val="28"/>
          <w:szCs w:val="28"/>
        </w:rPr>
        <w:t>二</w:t>
      </w:r>
      <w:r>
        <w:rPr>
          <w:rFonts w:hint="eastAsia" w:ascii="宋体" w:hAnsi="宋体" w:eastAsia="宋体" w:cs="宋体"/>
          <w:color w:val="000000"/>
          <w:sz w:val="28"/>
          <w:szCs w:val="28"/>
        </w:rPr>
        <w:t>〇</w:t>
      </w:r>
      <w:r>
        <w:rPr>
          <w:rFonts w:hint="eastAsia" w:ascii="华文新魏" w:hAnsi="华文新魏" w:eastAsia="华文新魏" w:cs="华文新魏"/>
          <w:color w:val="000000"/>
          <w:sz w:val="28"/>
          <w:szCs w:val="28"/>
        </w:rPr>
        <w:t>二</w:t>
      </w:r>
      <w:r>
        <w:rPr>
          <w:rFonts w:hint="eastAsia" w:ascii="华文新魏" w:hAnsi="华文新魏" w:eastAsia="华文新魏" w:cs="华文新魏"/>
          <w:color w:val="000000"/>
          <w:sz w:val="28"/>
          <w:szCs w:val="28"/>
          <w:lang w:val="en-US" w:eastAsia="zh-CN"/>
        </w:rPr>
        <w:t>四</w:t>
      </w:r>
      <w:r>
        <w:rPr>
          <w:rFonts w:cs="宋体" w:asciiTheme="minorEastAsia" w:hAnsiTheme="minorEastAsia"/>
          <w:color w:val="000000"/>
          <w:sz w:val="28"/>
          <w:szCs w:val="28"/>
        </w:rPr>
        <w:t>年</w:t>
      </w:r>
      <w:r>
        <w:rPr>
          <w:rFonts w:hint="eastAsia" w:ascii="华文新魏" w:hAnsi="华文新魏" w:eastAsia="华文新魏" w:cs="华文新魏"/>
          <w:color w:val="000000"/>
          <w:sz w:val="28"/>
          <w:szCs w:val="28"/>
          <w:lang w:val="en-US" w:eastAsia="zh-CN"/>
        </w:rPr>
        <w:t>一</w:t>
      </w:r>
      <w:r>
        <w:rPr>
          <w:rFonts w:cs="宋体" w:asciiTheme="minorEastAsia" w:hAnsiTheme="minorEastAsia"/>
          <w:color w:val="000000"/>
          <w:sz w:val="28"/>
          <w:szCs w:val="28"/>
        </w:rPr>
        <w:t>月</w:t>
      </w:r>
      <w:r>
        <w:rPr>
          <w:rFonts w:hint="eastAsia" w:cs="宋体" w:asciiTheme="minorEastAsia" w:hAnsiTheme="minorEastAsia"/>
          <w:color w:val="000000"/>
          <w:sz w:val="28"/>
          <w:szCs w:val="28"/>
        </w:rPr>
        <w:t>十</w:t>
      </w:r>
      <w:r>
        <w:rPr>
          <w:rFonts w:ascii="宋体" w:hAnsi="宋体" w:cs="宋体"/>
          <w:color w:val="000000"/>
          <w:sz w:val="28"/>
          <w:szCs w:val="28"/>
        </w:rPr>
        <w:t>日</w:t>
      </w:r>
    </w:p>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华文新魏">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Bookman Old Style">
    <w:panose1 w:val="02050604050505020204"/>
    <w:charset w:val="00"/>
    <w:family w:val="roman"/>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EHKHQN+ËÎÌå">
    <w:altName w:val="微软雅黑"/>
    <w:panose1 w:val="00000000000000000000"/>
    <w:charset w:val="01"/>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07"/>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Tksyks0BAACdAwAADgAAAAAAAAABACAAAAAeAQAAZHJzL2Uy&#10;b0RvYy54bWxQSwUGAAAAAAYABgBZAQAAXQU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hswPEs0BAACdAwAADgAAAAAAAAABACAAAAAeAQAAZHJzL2Uy&#10;b0RvYy54bWxQSwUGAAAAAAYABgBZAQAAXQU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28078501"/>
                          </w:sdtPr>
                          <w:sdtContent>
                            <w:p>
                              <w:pPr>
                                <w:pStyle w:val="17"/>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f7Z8TzAEAAJ0DAAAOAAAAAAAAAAEAIAAAAB4BAABkcnMvZTJv&#10;RG9jLnhtbFBLBQYAAAAABgAGAFkBAABcBQAAAAA=&#10;">
              <v:fill on="f" focussize="0,0"/>
              <v:stroke on="f"/>
              <v:imagedata o:title=""/>
              <o:lock v:ext="edit" aspectratio="f"/>
              <v:textbox inset="0mm,0mm,0mm,0mm" style="mso-fit-shape-to-text:t;">
                <w:txbxContent>
                  <w:sdt>
                    <w:sdtPr>
                      <w:id w:val="28078501"/>
                    </w:sdtPr>
                    <w:sdtContent>
                      <w:p>
                        <w:pPr>
                          <w:pStyle w:val="17"/>
                          <w:jc w:val="center"/>
                        </w:pPr>
                        <w:r>
                          <w:fldChar w:fldCharType="begin"/>
                        </w:r>
                        <w:r>
                          <w:instrText xml:space="preserve"> PAGE   \* MERGEFORMAT </w:instrText>
                        </w:r>
                        <w:r>
                          <w:fldChar w:fldCharType="separate"/>
                        </w:r>
                        <w:r>
                          <w:rPr>
                            <w:lang w:val="zh-CN"/>
                          </w:rPr>
                          <w:t>13</w:t>
                        </w:r>
                        <w:r>
                          <w:rPr>
                            <w:lang w:val="zh-CN"/>
                          </w:rPr>
                          <w:fldChar w:fldCharType="end"/>
                        </w:r>
                      </w:p>
                    </w:sdtContent>
                  </w:sdt>
                  <w:p/>
                </w:txbxContent>
              </v:textbox>
            </v:shape>
          </w:pict>
        </mc:Fallback>
      </mc:AlternateContent>
    </w: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spacing w:before="0" w:beforeAutospacing="0" w:after="0" w:afterAutospacing="0"/>
      <w:ind w:left="0" w:right="0"/>
      <w:jc w:val="both"/>
      <w:rPr>
        <w:b/>
        <w:bCs/>
        <w:sz w:val="21"/>
        <w:szCs w:val="21"/>
      </w:rPr>
    </w:pPr>
    <w:r>
      <w:rPr>
        <w:rFonts w:hint="eastAsia" w:ascii="楷体" w:hAnsi="楷体" w:eastAsia="楷体" w:cs="楷体"/>
        <w:b/>
        <w:bCs/>
        <w:sz w:val="24"/>
        <w:szCs w:val="24"/>
        <w:lang w:val="en-US" w:eastAsia="zh-CN"/>
      </w:rPr>
      <w:t>钱江集团温岭正峰动力有限公司</w:t>
    </w:r>
    <w:r>
      <w:rPr>
        <w:rFonts w:ascii="华文楷体" w:hAnsi="华文楷体" w:eastAsia="华文楷体" w:cs="华文楷体"/>
        <w:i w:val="0"/>
        <w:iCs w:val="0"/>
        <w:caps w:val="0"/>
        <w:color w:val="000000"/>
        <w:spacing w:val="0"/>
        <w:kern w:val="0"/>
        <w:sz w:val="21"/>
        <w:szCs w:val="21"/>
        <w:lang w:val="en-US" w:eastAsia="zh-CN" w:bidi="ar"/>
      </w:rPr>
      <w:t> </w:t>
    </w:r>
    <w:r>
      <w:rPr>
        <w:rFonts w:hint="eastAsia" w:ascii="华文楷体" w:hAnsi="华文楷体" w:eastAsia="华文楷体" w:cs="华文楷体"/>
        <w:i w:val="0"/>
        <w:iCs w:val="0"/>
        <w:caps w:val="0"/>
        <w:color w:val="000000"/>
        <w:spacing w:val="0"/>
        <w:kern w:val="0"/>
        <w:sz w:val="21"/>
        <w:szCs w:val="21"/>
        <w:lang w:val="en-US" w:eastAsia="zh-CN" w:bidi="ar"/>
      </w:rPr>
      <w:t xml:space="preserve">                                      </w:t>
    </w:r>
    <w:r>
      <w:rPr>
        <w:rFonts w:hint="eastAsia"/>
        <w:b/>
        <w:bCs/>
        <w:sz w:val="21"/>
        <w:szCs w:val="21"/>
      </w:rPr>
      <w:t>202</w:t>
    </w:r>
    <w:r>
      <w:rPr>
        <w:rFonts w:hint="eastAsia" w:eastAsia="宋体"/>
        <w:b/>
        <w:bCs/>
        <w:sz w:val="21"/>
        <w:szCs w:val="21"/>
        <w:lang w:val="en-US" w:eastAsia="zh-CN"/>
      </w:rPr>
      <w:t>4</w:t>
    </w:r>
    <w:r>
      <w:rPr>
        <w:rFonts w:hint="eastAsia"/>
        <w:b/>
        <w:bCs/>
        <w:sz w:val="21"/>
        <w:szCs w:val="21"/>
      </w:rPr>
      <w:t>年社会责任报告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3C9572"/>
    <w:multiLevelType w:val="singleLevel"/>
    <w:tmpl w:val="ED3C9572"/>
    <w:lvl w:ilvl="0" w:tentative="0">
      <w:start w:val="1"/>
      <w:numFmt w:val="chineseCounting"/>
      <w:suff w:val="nothing"/>
      <w:lvlText w:val="%1、"/>
      <w:lvlJc w:val="left"/>
      <w:rPr>
        <w:rFonts w:hint="eastAsia"/>
      </w:rPr>
    </w:lvl>
  </w:abstractNum>
  <w:abstractNum w:abstractNumId="1">
    <w:nsid w:val="FDD7C867"/>
    <w:multiLevelType w:val="singleLevel"/>
    <w:tmpl w:val="FDD7C867"/>
    <w:lvl w:ilvl="0" w:tentative="0">
      <w:start w:val="1"/>
      <w:numFmt w:val="chineseCounting"/>
      <w:suff w:val="nothing"/>
      <w:lvlText w:val="%1、"/>
      <w:lvlJc w:val="left"/>
      <w:rPr>
        <w:rFonts w:hint="eastAsia"/>
      </w:rPr>
    </w:lvl>
  </w:abstractNum>
  <w:abstractNum w:abstractNumId="2">
    <w:nsid w:val="0362597E"/>
    <w:multiLevelType w:val="singleLevel"/>
    <w:tmpl w:val="0362597E"/>
    <w:lvl w:ilvl="0" w:tentative="0">
      <w:start w:val="1"/>
      <w:numFmt w:val="chineseCounting"/>
      <w:suff w:val="nothing"/>
      <w:lvlText w:val="%1、"/>
      <w:lvlJc w:val="left"/>
      <w:rPr>
        <w:rFonts w:hint="eastAsia"/>
      </w:rPr>
    </w:lvl>
  </w:abstractNum>
  <w:abstractNum w:abstractNumId="3">
    <w:nsid w:val="1FC91163"/>
    <w:multiLevelType w:val="multilevel"/>
    <w:tmpl w:val="1FC91163"/>
    <w:lvl w:ilvl="0" w:tentative="0">
      <w:start w:val="1"/>
      <w:numFmt w:val="decimal"/>
      <w:pStyle w:val="61"/>
      <w:suff w:val="nothing"/>
      <w:lvlText w:val="%1　"/>
      <w:lvlJc w:val="left"/>
      <w:rPr>
        <w:rFonts w:hint="eastAsia" w:ascii="黑体" w:hAnsi="Times New Roman" w:eastAsia="黑体" w:cs="Times New Roman"/>
        <w:b w:val="0"/>
        <w:i w:val="0"/>
        <w:sz w:val="28"/>
        <w:szCs w:val="28"/>
      </w:rPr>
    </w:lvl>
    <w:lvl w:ilvl="1" w:tentative="0">
      <w:start w:val="1"/>
      <w:numFmt w:val="decimal"/>
      <w:pStyle w:val="63"/>
      <w:suff w:val="nothing"/>
      <w:lvlText w:val="%1.%2　"/>
      <w:lvlJc w:val="left"/>
      <w:pPr>
        <w:ind w:left="63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rPr>
    </w:lvl>
    <w:lvl w:ilvl="2" w:tentative="0">
      <w:start w:val="1"/>
      <w:numFmt w:val="decimal"/>
      <w:pStyle w:val="62"/>
      <w:suff w:val="nothing"/>
      <w:lvlText w:val="%1.%2.%3　"/>
      <w:lvlJc w:val="left"/>
      <w:pPr>
        <w:ind w:left="993"/>
      </w:pPr>
      <w:rPr>
        <w:rFonts w:hint="eastAsia" w:ascii="黑体" w:hAnsi="Times New Roman" w:eastAsia="黑体" w:cs="Times New Roman"/>
        <w:b w:val="0"/>
        <w:i w:val="0"/>
        <w:sz w:val="21"/>
      </w:rPr>
    </w:lvl>
    <w:lvl w:ilvl="3" w:tentative="0">
      <w:start w:val="1"/>
      <w:numFmt w:val="decimal"/>
      <w:suff w:val="nothing"/>
      <w:lvlText w:val="%1.%2.%3.%4　"/>
      <w:lvlJc w:val="left"/>
      <w:pPr>
        <w:ind w:left="630"/>
      </w:pPr>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CD5536"/>
    <w:rsid w:val="000560BD"/>
    <w:rsid w:val="000851BA"/>
    <w:rsid w:val="00085833"/>
    <w:rsid w:val="00085F2A"/>
    <w:rsid w:val="00086B0E"/>
    <w:rsid w:val="00086F9E"/>
    <w:rsid w:val="00091D6C"/>
    <w:rsid w:val="000A07DF"/>
    <w:rsid w:val="000A3A1A"/>
    <w:rsid w:val="000A656E"/>
    <w:rsid w:val="000C1140"/>
    <w:rsid w:val="000C6696"/>
    <w:rsid w:val="000D6F86"/>
    <w:rsid w:val="000F3818"/>
    <w:rsid w:val="000F747E"/>
    <w:rsid w:val="001018CA"/>
    <w:rsid w:val="00114042"/>
    <w:rsid w:val="00156B22"/>
    <w:rsid w:val="00157F8E"/>
    <w:rsid w:val="00163BAA"/>
    <w:rsid w:val="00174597"/>
    <w:rsid w:val="00177B88"/>
    <w:rsid w:val="00187FCB"/>
    <w:rsid w:val="00191C78"/>
    <w:rsid w:val="00194914"/>
    <w:rsid w:val="001A2837"/>
    <w:rsid w:val="001A6E6E"/>
    <w:rsid w:val="001A7124"/>
    <w:rsid w:val="001B2A02"/>
    <w:rsid w:val="001B37CB"/>
    <w:rsid w:val="001C778F"/>
    <w:rsid w:val="001D22EE"/>
    <w:rsid w:val="001D2FB4"/>
    <w:rsid w:val="001E5230"/>
    <w:rsid w:val="001E7CA3"/>
    <w:rsid w:val="001F19B9"/>
    <w:rsid w:val="001F34AB"/>
    <w:rsid w:val="00205614"/>
    <w:rsid w:val="00215470"/>
    <w:rsid w:val="00216122"/>
    <w:rsid w:val="0023244B"/>
    <w:rsid w:val="00256B1E"/>
    <w:rsid w:val="00262855"/>
    <w:rsid w:val="002823EF"/>
    <w:rsid w:val="00283F1D"/>
    <w:rsid w:val="002B28B4"/>
    <w:rsid w:val="002C1A9E"/>
    <w:rsid w:val="002C5412"/>
    <w:rsid w:val="002D141C"/>
    <w:rsid w:val="002E5F02"/>
    <w:rsid w:val="002F6DA8"/>
    <w:rsid w:val="00313E89"/>
    <w:rsid w:val="00315914"/>
    <w:rsid w:val="003219B5"/>
    <w:rsid w:val="003230DC"/>
    <w:rsid w:val="003518C3"/>
    <w:rsid w:val="0035604A"/>
    <w:rsid w:val="00377118"/>
    <w:rsid w:val="00391677"/>
    <w:rsid w:val="00397853"/>
    <w:rsid w:val="003D184C"/>
    <w:rsid w:val="003D65A2"/>
    <w:rsid w:val="0041370D"/>
    <w:rsid w:val="004407B5"/>
    <w:rsid w:val="00445C27"/>
    <w:rsid w:val="004537EA"/>
    <w:rsid w:val="00454CC6"/>
    <w:rsid w:val="00462DBE"/>
    <w:rsid w:val="00463CC3"/>
    <w:rsid w:val="00476229"/>
    <w:rsid w:val="004814BA"/>
    <w:rsid w:val="0048256B"/>
    <w:rsid w:val="0048473F"/>
    <w:rsid w:val="0049042B"/>
    <w:rsid w:val="004A1410"/>
    <w:rsid w:val="004B093D"/>
    <w:rsid w:val="004B567B"/>
    <w:rsid w:val="004C0B68"/>
    <w:rsid w:val="004D7F82"/>
    <w:rsid w:val="004E1DD7"/>
    <w:rsid w:val="004E1E8E"/>
    <w:rsid w:val="00500F46"/>
    <w:rsid w:val="005124AE"/>
    <w:rsid w:val="00523FC8"/>
    <w:rsid w:val="00526CAB"/>
    <w:rsid w:val="005346AB"/>
    <w:rsid w:val="00554B93"/>
    <w:rsid w:val="00571416"/>
    <w:rsid w:val="005A698F"/>
    <w:rsid w:val="005A6C54"/>
    <w:rsid w:val="005C7E6F"/>
    <w:rsid w:val="005E49BF"/>
    <w:rsid w:val="006131B1"/>
    <w:rsid w:val="0062232C"/>
    <w:rsid w:val="0063569E"/>
    <w:rsid w:val="00655620"/>
    <w:rsid w:val="006805D1"/>
    <w:rsid w:val="0068065E"/>
    <w:rsid w:val="00683987"/>
    <w:rsid w:val="006A3CEF"/>
    <w:rsid w:val="006A3ED2"/>
    <w:rsid w:val="006B3EA2"/>
    <w:rsid w:val="006C2F4C"/>
    <w:rsid w:val="006C79A7"/>
    <w:rsid w:val="006F25DA"/>
    <w:rsid w:val="007010A3"/>
    <w:rsid w:val="00715739"/>
    <w:rsid w:val="00747970"/>
    <w:rsid w:val="00747DAB"/>
    <w:rsid w:val="00762B70"/>
    <w:rsid w:val="00766018"/>
    <w:rsid w:val="00771C9A"/>
    <w:rsid w:val="00777356"/>
    <w:rsid w:val="007865A2"/>
    <w:rsid w:val="00791696"/>
    <w:rsid w:val="007957B0"/>
    <w:rsid w:val="00796A07"/>
    <w:rsid w:val="007A4ABC"/>
    <w:rsid w:val="007B10D2"/>
    <w:rsid w:val="007B1A38"/>
    <w:rsid w:val="007B284F"/>
    <w:rsid w:val="007B2BF9"/>
    <w:rsid w:val="007B75BE"/>
    <w:rsid w:val="007C6366"/>
    <w:rsid w:val="007D5111"/>
    <w:rsid w:val="007D7A2B"/>
    <w:rsid w:val="007E58A9"/>
    <w:rsid w:val="007F2D67"/>
    <w:rsid w:val="007F3B79"/>
    <w:rsid w:val="007F6C5E"/>
    <w:rsid w:val="00800143"/>
    <w:rsid w:val="00803C25"/>
    <w:rsid w:val="0082154D"/>
    <w:rsid w:val="008248AF"/>
    <w:rsid w:val="00826172"/>
    <w:rsid w:val="00832D75"/>
    <w:rsid w:val="008361F3"/>
    <w:rsid w:val="00867E5F"/>
    <w:rsid w:val="00876AD2"/>
    <w:rsid w:val="00876C35"/>
    <w:rsid w:val="00882B9D"/>
    <w:rsid w:val="008852B4"/>
    <w:rsid w:val="008921E7"/>
    <w:rsid w:val="0089507C"/>
    <w:rsid w:val="008B59EC"/>
    <w:rsid w:val="008D21E5"/>
    <w:rsid w:val="008D44F1"/>
    <w:rsid w:val="008D6DB7"/>
    <w:rsid w:val="008E2CA6"/>
    <w:rsid w:val="008E3617"/>
    <w:rsid w:val="00904CAD"/>
    <w:rsid w:val="00906576"/>
    <w:rsid w:val="00917B07"/>
    <w:rsid w:val="00921798"/>
    <w:rsid w:val="00925873"/>
    <w:rsid w:val="00927C64"/>
    <w:rsid w:val="00944041"/>
    <w:rsid w:val="00954221"/>
    <w:rsid w:val="00956924"/>
    <w:rsid w:val="00956D46"/>
    <w:rsid w:val="00964DDC"/>
    <w:rsid w:val="009667B1"/>
    <w:rsid w:val="0097185C"/>
    <w:rsid w:val="009811C7"/>
    <w:rsid w:val="009A1CFB"/>
    <w:rsid w:val="009B2443"/>
    <w:rsid w:val="009B3D54"/>
    <w:rsid w:val="009C0030"/>
    <w:rsid w:val="009D1644"/>
    <w:rsid w:val="009D58EF"/>
    <w:rsid w:val="009E004C"/>
    <w:rsid w:val="009E6892"/>
    <w:rsid w:val="009E7B71"/>
    <w:rsid w:val="009F7CA5"/>
    <w:rsid w:val="00A060C2"/>
    <w:rsid w:val="00A0631E"/>
    <w:rsid w:val="00A06D24"/>
    <w:rsid w:val="00A158FA"/>
    <w:rsid w:val="00A31629"/>
    <w:rsid w:val="00A41920"/>
    <w:rsid w:val="00A550E4"/>
    <w:rsid w:val="00A56E52"/>
    <w:rsid w:val="00A84486"/>
    <w:rsid w:val="00AA04EA"/>
    <w:rsid w:val="00AA1565"/>
    <w:rsid w:val="00AA647F"/>
    <w:rsid w:val="00AB53F0"/>
    <w:rsid w:val="00AB787F"/>
    <w:rsid w:val="00AC2B69"/>
    <w:rsid w:val="00AC53A0"/>
    <w:rsid w:val="00AE1334"/>
    <w:rsid w:val="00AE7B6E"/>
    <w:rsid w:val="00B1730F"/>
    <w:rsid w:val="00B1748F"/>
    <w:rsid w:val="00B27D8B"/>
    <w:rsid w:val="00B339DA"/>
    <w:rsid w:val="00B367FB"/>
    <w:rsid w:val="00B563D4"/>
    <w:rsid w:val="00B625F2"/>
    <w:rsid w:val="00B72C60"/>
    <w:rsid w:val="00B75C32"/>
    <w:rsid w:val="00B81A74"/>
    <w:rsid w:val="00B9003D"/>
    <w:rsid w:val="00B9573E"/>
    <w:rsid w:val="00BA0555"/>
    <w:rsid w:val="00BA517A"/>
    <w:rsid w:val="00BA5DE1"/>
    <w:rsid w:val="00BB2A26"/>
    <w:rsid w:val="00BB7A77"/>
    <w:rsid w:val="00BB7AE2"/>
    <w:rsid w:val="00BB7DD2"/>
    <w:rsid w:val="00BC068E"/>
    <w:rsid w:val="00BC5361"/>
    <w:rsid w:val="00BD0639"/>
    <w:rsid w:val="00BD5105"/>
    <w:rsid w:val="00BE19F0"/>
    <w:rsid w:val="00BF00A8"/>
    <w:rsid w:val="00BF0FD6"/>
    <w:rsid w:val="00BF3277"/>
    <w:rsid w:val="00C03004"/>
    <w:rsid w:val="00C03A56"/>
    <w:rsid w:val="00C14A47"/>
    <w:rsid w:val="00C17C8E"/>
    <w:rsid w:val="00C20345"/>
    <w:rsid w:val="00C30715"/>
    <w:rsid w:val="00C735F7"/>
    <w:rsid w:val="00C755C8"/>
    <w:rsid w:val="00C76CCB"/>
    <w:rsid w:val="00C85D2F"/>
    <w:rsid w:val="00C9183E"/>
    <w:rsid w:val="00C96051"/>
    <w:rsid w:val="00CA1EA1"/>
    <w:rsid w:val="00CA4B5C"/>
    <w:rsid w:val="00CB17FE"/>
    <w:rsid w:val="00CB3425"/>
    <w:rsid w:val="00CB4492"/>
    <w:rsid w:val="00CD5536"/>
    <w:rsid w:val="00CD7F1A"/>
    <w:rsid w:val="00CF6032"/>
    <w:rsid w:val="00D0108B"/>
    <w:rsid w:val="00D13248"/>
    <w:rsid w:val="00D52C64"/>
    <w:rsid w:val="00D56F1C"/>
    <w:rsid w:val="00D612A9"/>
    <w:rsid w:val="00D66123"/>
    <w:rsid w:val="00D8386C"/>
    <w:rsid w:val="00D92C29"/>
    <w:rsid w:val="00DA27A5"/>
    <w:rsid w:val="00DB17B8"/>
    <w:rsid w:val="00DB6600"/>
    <w:rsid w:val="00DB7A4C"/>
    <w:rsid w:val="00DE0288"/>
    <w:rsid w:val="00DE1C7D"/>
    <w:rsid w:val="00DF60BA"/>
    <w:rsid w:val="00E346B6"/>
    <w:rsid w:val="00E46C00"/>
    <w:rsid w:val="00E553B9"/>
    <w:rsid w:val="00E63D8E"/>
    <w:rsid w:val="00E6753E"/>
    <w:rsid w:val="00E75FD2"/>
    <w:rsid w:val="00E81975"/>
    <w:rsid w:val="00E81DD3"/>
    <w:rsid w:val="00E91056"/>
    <w:rsid w:val="00E91AE3"/>
    <w:rsid w:val="00E947E9"/>
    <w:rsid w:val="00EA43FF"/>
    <w:rsid w:val="00EB326F"/>
    <w:rsid w:val="00EC2B3B"/>
    <w:rsid w:val="00EC52AC"/>
    <w:rsid w:val="00EE0395"/>
    <w:rsid w:val="00EF7FEC"/>
    <w:rsid w:val="00F06FB6"/>
    <w:rsid w:val="00F41125"/>
    <w:rsid w:val="00F416FF"/>
    <w:rsid w:val="00F517B3"/>
    <w:rsid w:val="00F615C1"/>
    <w:rsid w:val="00F62D2C"/>
    <w:rsid w:val="00F721DB"/>
    <w:rsid w:val="00F737C4"/>
    <w:rsid w:val="00FA1181"/>
    <w:rsid w:val="00FA6771"/>
    <w:rsid w:val="00FB4E33"/>
    <w:rsid w:val="00FC1A95"/>
    <w:rsid w:val="00FC4409"/>
    <w:rsid w:val="00FD7043"/>
    <w:rsid w:val="00FF19B7"/>
    <w:rsid w:val="00FF5769"/>
    <w:rsid w:val="04D97A40"/>
    <w:rsid w:val="04FE685B"/>
    <w:rsid w:val="084371BF"/>
    <w:rsid w:val="08AB4C8F"/>
    <w:rsid w:val="0A0E7E16"/>
    <w:rsid w:val="0B23767F"/>
    <w:rsid w:val="0D08563E"/>
    <w:rsid w:val="0D4F400E"/>
    <w:rsid w:val="0E3D4526"/>
    <w:rsid w:val="114476A5"/>
    <w:rsid w:val="19AE0EBD"/>
    <w:rsid w:val="1D50261A"/>
    <w:rsid w:val="209B42BF"/>
    <w:rsid w:val="23F53B5F"/>
    <w:rsid w:val="285E02DD"/>
    <w:rsid w:val="28FC171E"/>
    <w:rsid w:val="2A6E69FE"/>
    <w:rsid w:val="2BE372B2"/>
    <w:rsid w:val="2C7013D8"/>
    <w:rsid w:val="2CFA246F"/>
    <w:rsid w:val="2E9061B8"/>
    <w:rsid w:val="2FEE7849"/>
    <w:rsid w:val="3345715D"/>
    <w:rsid w:val="34183541"/>
    <w:rsid w:val="37FA7A54"/>
    <w:rsid w:val="38924365"/>
    <w:rsid w:val="39041E59"/>
    <w:rsid w:val="3ABF4DF2"/>
    <w:rsid w:val="3C9011E0"/>
    <w:rsid w:val="3E0F4009"/>
    <w:rsid w:val="41673776"/>
    <w:rsid w:val="467965F6"/>
    <w:rsid w:val="49243EE4"/>
    <w:rsid w:val="49303C2F"/>
    <w:rsid w:val="4BB7293D"/>
    <w:rsid w:val="4C9626E5"/>
    <w:rsid w:val="521340EE"/>
    <w:rsid w:val="54F711A7"/>
    <w:rsid w:val="55DA6EE8"/>
    <w:rsid w:val="583D5969"/>
    <w:rsid w:val="59C42F73"/>
    <w:rsid w:val="5BD705B9"/>
    <w:rsid w:val="5BF867F3"/>
    <w:rsid w:val="62191D78"/>
    <w:rsid w:val="65340A41"/>
    <w:rsid w:val="67FF5F7E"/>
    <w:rsid w:val="68CC46FC"/>
    <w:rsid w:val="6B660857"/>
    <w:rsid w:val="6B887B03"/>
    <w:rsid w:val="6BAE9296"/>
    <w:rsid w:val="6E1B6828"/>
    <w:rsid w:val="6F2D279F"/>
    <w:rsid w:val="7020590B"/>
    <w:rsid w:val="711E58ED"/>
    <w:rsid w:val="72511E28"/>
    <w:rsid w:val="7441507D"/>
    <w:rsid w:val="744F556D"/>
    <w:rsid w:val="76390903"/>
    <w:rsid w:val="785C6B49"/>
    <w:rsid w:val="79BC7AC0"/>
    <w:rsid w:val="79DEF834"/>
    <w:rsid w:val="7B867DEC"/>
    <w:rsid w:val="7C31488F"/>
    <w:rsid w:val="7FDA2E36"/>
    <w:rsid w:val="BF676B41"/>
    <w:rsid w:val="DD544AB7"/>
    <w:rsid w:val="DFEA5D5A"/>
    <w:rsid w:val="FDBF9C1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qFormat="1"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4">
    <w:name w:val="heading 1"/>
    <w:basedOn w:val="1"/>
    <w:next w:val="1"/>
    <w:link w:val="34"/>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5">
    <w:name w:val="heading 2"/>
    <w:basedOn w:val="1"/>
    <w:next w:val="1"/>
    <w:link w:val="33"/>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6">
    <w:name w:val="heading 3"/>
    <w:basedOn w:val="1"/>
    <w:next w:val="1"/>
    <w:link w:val="36"/>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7">
    <w:name w:val="heading 4"/>
    <w:basedOn w:val="1"/>
    <w:next w:val="1"/>
    <w:link w:val="70"/>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8">
    <w:name w:val="heading 5"/>
    <w:basedOn w:val="1"/>
    <w:next w:val="1"/>
    <w:link w:val="71"/>
    <w:unhideWhenUsed/>
    <w:qFormat/>
    <w:uiPriority w:val="9"/>
    <w:pPr>
      <w:keepNext/>
      <w:keepLines/>
      <w:spacing w:before="120" w:after="0"/>
      <w:outlineLvl w:val="4"/>
    </w:pPr>
    <w:rPr>
      <w:rFonts w:asciiTheme="majorHAnsi" w:hAnsiTheme="majorHAnsi" w:eastAsiaTheme="majorEastAsia" w:cstheme="majorBidi"/>
      <w:b/>
      <w:bCs/>
    </w:rPr>
  </w:style>
  <w:style w:type="paragraph" w:styleId="9">
    <w:name w:val="heading 6"/>
    <w:basedOn w:val="1"/>
    <w:next w:val="1"/>
    <w:link w:val="72"/>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10">
    <w:name w:val="heading 7"/>
    <w:basedOn w:val="1"/>
    <w:next w:val="1"/>
    <w:link w:val="73"/>
    <w:unhideWhenUsed/>
    <w:qFormat/>
    <w:uiPriority w:val="9"/>
    <w:pPr>
      <w:keepNext/>
      <w:keepLines/>
      <w:spacing w:before="120" w:after="0"/>
      <w:outlineLvl w:val="6"/>
    </w:pPr>
    <w:rPr>
      <w:i/>
      <w:iCs/>
    </w:rPr>
  </w:style>
  <w:style w:type="paragraph" w:styleId="11">
    <w:name w:val="heading 8"/>
    <w:basedOn w:val="1"/>
    <w:next w:val="1"/>
    <w:link w:val="74"/>
    <w:unhideWhenUsed/>
    <w:qFormat/>
    <w:uiPriority w:val="9"/>
    <w:pPr>
      <w:keepNext/>
      <w:keepLines/>
      <w:spacing w:before="120" w:after="0"/>
      <w:outlineLvl w:val="7"/>
    </w:pPr>
    <w:rPr>
      <w:b/>
      <w:bCs/>
    </w:rPr>
  </w:style>
  <w:style w:type="paragraph" w:styleId="12">
    <w:name w:val="heading 9"/>
    <w:basedOn w:val="1"/>
    <w:next w:val="1"/>
    <w:link w:val="75"/>
    <w:unhideWhenUsed/>
    <w:qFormat/>
    <w:uiPriority w:val="9"/>
    <w:pPr>
      <w:keepNext/>
      <w:keepLines/>
      <w:spacing w:before="120" w:after="0"/>
      <w:outlineLvl w:val="8"/>
    </w:pPr>
    <w:rPr>
      <w:i/>
      <w:iCs/>
    </w:rPr>
  </w:style>
  <w:style w:type="character" w:default="1" w:styleId="28">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rFonts w:ascii="Bookman Old Style" w:hAnsi="Bookman Old Style" w:eastAsia="宋体" w:cs="Times New Roman"/>
      <w:sz w:val="21"/>
    </w:rPr>
  </w:style>
  <w:style w:type="paragraph" w:styleId="3">
    <w:name w:val="Body Text Indent"/>
    <w:basedOn w:val="1"/>
    <w:link w:val="53"/>
    <w:qFormat/>
    <w:uiPriority w:val="0"/>
    <w:pPr>
      <w:spacing w:after="120"/>
      <w:ind w:left="420" w:leftChars="200"/>
    </w:pPr>
    <w:rPr>
      <w:rFonts w:ascii="Times New Roman" w:hAnsi="Times New Roman" w:eastAsia="宋体" w:cs="Times New Roman"/>
      <w:szCs w:val="24"/>
    </w:rPr>
  </w:style>
  <w:style w:type="paragraph" w:styleId="13">
    <w:name w:val="caption"/>
    <w:basedOn w:val="1"/>
    <w:next w:val="1"/>
    <w:unhideWhenUsed/>
    <w:qFormat/>
    <w:uiPriority w:val="35"/>
    <w:rPr>
      <w:b/>
      <w:bCs/>
      <w:sz w:val="18"/>
      <w:szCs w:val="18"/>
    </w:rPr>
  </w:style>
  <w:style w:type="paragraph" w:styleId="14">
    <w:name w:val="annotation text"/>
    <w:basedOn w:val="1"/>
    <w:link w:val="44"/>
    <w:qFormat/>
    <w:uiPriority w:val="0"/>
    <w:pPr>
      <w:jc w:val="left"/>
    </w:pPr>
  </w:style>
  <w:style w:type="paragraph" w:styleId="15">
    <w:name w:val="Body Text Indent 2"/>
    <w:basedOn w:val="1"/>
    <w:link w:val="57"/>
    <w:qFormat/>
    <w:uiPriority w:val="0"/>
    <w:pPr>
      <w:ind w:left="1" w:firstLine="538" w:firstLineChars="192"/>
    </w:pPr>
    <w:rPr>
      <w:rFonts w:ascii="Times New Roman" w:hAnsi="Times New Roman" w:eastAsia="宋体" w:cs="Times New Roman"/>
      <w:sz w:val="28"/>
      <w:szCs w:val="24"/>
    </w:rPr>
  </w:style>
  <w:style w:type="paragraph" w:styleId="16">
    <w:name w:val="Balloon Text"/>
    <w:basedOn w:val="1"/>
    <w:link w:val="46"/>
    <w:qFormat/>
    <w:uiPriority w:val="0"/>
    <w:rPr>
      <w:sz w:val="18"/>
      <w:szCs w:val="18"/>
    </w:rPr>
  </w:style>
  <w:style w:type="paragraph" w:styleId="17">
    <w:name w:val="footer"/>
    <w:basedOn w:val="1"/>
    <w:link w:val="38"/>
    <w:qFormat/>
    <w:uiPriority w:val="0"/>
    <w:pPr>
      <w:tabs>
        <w:tab w:val="center" w:pos="4153"/>
        <w:tab w:val="right" w:pos="8306"/>
      </w:tabs>
      <w:snapToGrid w:val="0"/>
      <w:jc w:val="left"/>
    </w:pPr>
    <w:rPr>
      <w:sz w:val="18"/>
      <w:szCs w:val="18"/>
    </w:rPr>
  </w:style>
  <w:style w:type="paragraph" w:styleId="18">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0"/>
  </w:style>
  <w:style w:type="paragraph" w:styleId="20">
    <w:name w:val="Subtitle"/>
    <w:basedOn w:val="1"/>
    <w:next w:val="1"/>
    <w:link w:val="77"/>
    <w:qFormat/>
    <w:uiPriority w:val="11"/>
    <w:pPr>
      <w:spacing w:after="240"/>
      <w:jc w:val="center"/>
    </w:pPr>
    <w:rPr>
      <w:rFonts w:asciiTheme="majorHAnsi" w:hAnsiTheme="majorHAnsi" w:eastAsiaTheme="majorEastAsia" w:cstheme="majorBidi"/>
      <w:sz w:val="24"/>
      <w:szCs w:val="24"/>
    </w:rPr>
  </w:style>
  <w:style w:type="paragraph" w:styleId="21">
    <w:name w:val="toc 2"/>
    <w:basedOn w:val="1"/>
    <w:next w:val="1"/>
    <w:qFormat/>
    <w:uiPriority w:val="0"/>
    <w:pPr>
      <w:ind w:left="420" w:leftChars="200"/>
    </w:pPr>
  </w:style>
  <w:style w:type="paragraph" w:styleId="22">
    <w:name w:val="Normal (Web)"/>
    <w:basedOn w:val="1"/>
    <w:qFormat/>
    <w:uiPriority w:val="0"/>
    <w:pPr>
      <w:spacing w:before="100" w:beforeAutospacing="1" w:after="100" w:afterAutospacing="1"/>
      <w:jc w:val="left"/>
    </w:pPr>
    <w:rPr>
      <w:rFonts w:ascii="宋体" w:hAnsi="宋体" w:cs="宋体"/>
      <w:sz w:val="24"/>
    </w:rPr>
  </w:style>
  <w:style w:type="paragraph" w:styleId="23">
    <w:name w:val="Title"/>
    <w:basedOn w:val="1"/>
    <w:next w:val="1"/>
    <w:link w:val="76"/>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paragraph" w:styleId="24">
    <w:name w:val="annotation subject"/>
    <w:basedOn w:val="14"/>
    <w:next w:val="14"/>
    <w:link w:val="45"/>
    <w:qFormat/>
    <w:uiPriority w:val="0"/>
    <w:rPr>
      <w:b/>
      <w:bCs/>
    </w:rPr>
  </w:style>
  <w:style w:type="table" w:styleId="26">
    <w:name w:val="Table Grid"/>
    <w:basedOn w:val="25"/>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27">
    <w:name w:val="Medium Shading 2 Accent 1"/>
    <w:basedOn w:val="25"/>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A08"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A08"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A08"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character" w:styleId="29">
    <w:name w:val="Strong"/>
    <w:basedOn w:val="28"/>
    <w:qFormat/>
    <w:uiPriority w:val="22"/>
    <w:rPr>
      <w:b/>
      <w:bCs/>
      <w:color w:val="auto"/>
    </w:rPr>
  </w:style>
  <w:style w:type="character" w:styleId="30">
    <w:name w:val="Emphasis"/>
    <w:basedOn w:val="28"/>
    <w:qFormat/>
    <w:uiPriority w:val="20"/>
    <w:rPr>
      <w:i/>
      <w:iCs/>
      <w:color w:val="auto"/>
    </w:rPr>
  </w:style>
  <w:style w:type="character" w:styleId="31">
    <w:name w:val="Hyperlink"/>
    <w:basedOn w:val="28"/>
    <w:qFormat/>
    <w:uiPriority w:val="0"/>
    <w:rPr>
      <w:color w:val="2998E3" w:themeColor="hyperlink"/>
      <w:u w:val="single"/>
      <w14:textFill>
        <w14:solidFill>
          <w14:schemeClr w14:val="hlink"/>
        </w14:solidFill>
      </w14:textFill>
    </w:rPr>
  </w:style>
  <w:style w:type="character" w:styleId="32">
    <w:name w:val="annotation reference"/>
    <w:basedOn w:val="28"/>
    <w:qFormat/>
    <w:uiPriority w:val="0"/>
    <w:rPr>
      <w:sz w:val="21"/>
      <w:szCs w:val="21"/>
    </w:rPr>
  </w:style>
  <w:style w:type="character" w:customStyle="1" w:styleId="33">
    <w:name w:val="标题 2 字符"/>
    <w:basedOn w:val="28"/>
    <w:link w:val="5"/>
    <w:semiHidden/>
    <w:qFormat/>
    <w:uiPriority w:val="9"/>
    <w:rPr>
      <w:rFonts w:asciiTheme="majorHAnsi" w:hAnsiTheme="majorHAnsi" w:eastAsiaTheme="majorEastAsia" w:cstheme="majorBidi"/>
      <w:b/>
      <w:bCs/>
      <w:sz w:val="28"/>
      <w:szCs w:val="28"/>
    </w:rPr>
  </w:style>
  <w:style w:type="character" w:customStyle="1" w:styleId="34">
    <w:name w:val="标题 1 字符"/>
    <w:basedOn w:val="28"/>
    <w:link w:val="4"/>
    <w:qFormat/>
    <w:uiPriority w:val="9"/>
    <w:rPr>
      <w:rFonts w:asciiTheme="majorHAnsi" w:hAnsiTheme="majorHAnsi" w:eastAsiaTheme="majorEastAsia" w:cstheme="majorBidi"/>
      <w:b/>
      <w:bCs/>
      <w:caps/>
      <w:spacing w:val="4"/>
      <w:sz w:val="28"/>
      <w:szCs w:val="28"/>
    </w:rPr>
  </w:style>
  <w:style w:type="paragraph" w:customStyle="1" w:styleId="35">
    <w:name w:val="Table Paragraph"/>
    <w:basedOn w:val="1"/>
    <w:qFormat/>
    <w:uiPriority w:val="1"/>
    <w:pPr>
      <w:spacing w:before="82"/>
    </w:pPr>
    <w:rPr>
      <w:rFonts w:ascii="宋体" w:hAnsi="宋体" w:eastAsia="宋体" w:cs="宋体"/>
      <w:lang w:val="en-US" w:eastAsia="en-US" w:bidi="en-US"/>
    </w:rPr>
  </w:style>
  <w:style w:type="character" w:customStyle="1" w:styleId="36">
    <w:name w:val="标题 3 字符"/>
    <w:basedOn w:val="28"/>
    <w:link w:val="6"/>
    <w:semiHidden/>
    <w:qFormat/>
    <w:uiPriority w:val="9"/>
    <w:rPr>
      <w:rFonts w:asciiTheme="majorHAnsi" w:hAnsiTheme="majorHAnsi" w:eastAsiaTheme="majorEastAsia" w:cstheme="majorBidi"/>
      <w:spacing w:val="4"/>
      <w:sz w:val="24"/>
      <w:szCs w:val="24"/>
    </w:rPr>
  </w:style>
  <w:style w:type="character" w:customStyle="1" w:styleId="37">
    <w:name w:val="页眉 字符"/>
    <w:basedOn w:val="28"/>
    <w:link w:val="18"/>
    <w:qFormat/>
    <w:uiPriority w:val="99"/>
    <w:rPr>
      <w:sz w:val="18"/>
      <w:szCs w:val="18"/>
    </w:rPr>
  </w:style>
  <w:style w:type="character" w:customStyle="1" w:styleId="38">
    <w:name w:val="页脚 字符"/>
    <w:basedOn w:val="28"/>
    <w:link w:val="17"/>
    <w:qFormat/>
    <w:uiPriority w:val="99"/>
    <w:rPr>
      <w:sz w:val="18"/>
      <w:szCs w:val="18"/>
    </w:rPr>
  </w:style>
  <w:style w:type="paragraph" w:customStyle="1" w:styleId="39">
    <w:name w:val="aSTL正文"/>
    <w:basedOn w:val="1"/>
    <w:link w:val="40"/>
    <w:qFormat/>
    <w:uiPriority w:val="0"/>
    <w:pPr>
      <w:spacing w:line="300" w:lineRule="auto"/>
      <w:ind w:firstLine="200" w:firstLineChars="200"/>
    </w:pPr>
    <w:rPr>
      <w:rFonts w:ascii="Calibri" w:hAnsi="Calibri" w:eastAsia="宋体" w:cs="Times New Roman"/>
      <w:sz w:val="24"/>
      <w:szCs w:val="20"/>
    </w:rPr>
  </w:style>
  <w:style w:type="character" w:customStyle="1" w:styleId="40">
    <w:name w:val="aSTL正文 Char"/>
    <w:link w:val="39"/>
    <w:qFormat/>
    <w:uiPriority w:val="0"/>
    <w:rPr>
      <w:rFonts w:ascii="Calibri" w:hAnsi="Calibri" w:eastAsia="宋体" w:cs="Times New Roman"/>
      <w:kern w:val="0"/>
      <w:sz w:val="24"/>
      <w:szCs w:val="20"/>
    </w:rPr>
  </w:style>
  <w:style w:type="paragraph" w:customStyle="1" w:styleId="41">
    <w:name w:val="4.1.1.1.1"/>
    <w:basedOn w:val="1"/>
    <w:link w:val="42"/>
    <w:qFormat/>
    <w:uiPriority w:val="0"/>
    <w:pPr>
      <w:tabs>
        <w:tab w:val="left" w:pos="142"/>
      </w:tabs>
      <w:spacing w:beforeLines="50" w:afterLines="50"/>
      <w:ind w:left="200" w:leftChars="200"/>
      <w:jc w:val="left"/>
      <w:outlineLvl w:val="3"/>
    </w:pPr>
    <w:rPr>
      <w:rFonts w:ascii="宋体" w:hAnsi="宋体" w:eastAsia="宋体" w:cs="Times New Roman"/>
      <w:b/>
      <w:color w:val="000000"/>
      <w:sz w:val="24"/>
      <w:szCs w:val="24"/>
    </w:rPr>
  </w:style>
  <w:style w:type="character" w:customStyle="1" w:styleId="42">
    <w:name w:val="4.1.1.1.1 Char"/>
    <w:link w:val="41"/>
    <w:qFormat/>
    <w:uiPriority w:val="0"/>
    <w:rPr>
      <w:rFonts w:ascii="宋体" w:hAnsi="宋体" w:eastAsia="宋体" w:cs="Times New Roman"/>
      <w:b/>
      <w:color w:val="000000"/>
      <w:kern w:val="0"/>
      <w:sz w:val="24"/>
      <w:szCs w:val="24"/>
    </w:rPr>
  </w:style>
  <w:style w:type="paragraph" w:customStyle="1" w:styleId="43">
    <w:name w:val="列出段落1"/>
    <w:basedOn w:val="1"/>
    <w:qFormat/>
    <w:uiPriority w:val="99"/>
    <w:pPr>
      <w:ind w:firstLine="420" w:firstLineChars="200"/>
    </w:pPr>
    <w:rPr>
      <w:rFonts w:ascii="Calibri" w:hAnsi="Calibri" w:eastAsia="宋体" w:cs="Times New Roman"/>
    </w:rPr>
  </w:style>
  <w:style w:type="character" w:customStyle="1" w:styleId="44">
    <w:name w:val="批注文字 字符"/>
    <w:basedOn w:val="28"/>
    <w:link w:val="14"/>
    <w:semiHidden/>
    <w:qFormat/>
    <w:uiPriority w:val="99"/>
  </w:style>
  <w:style w:type="character" w:customStyle="1" w:styleId="45">
    <w:name w:val="批注主题 字符"/>
    <w:basedOn w:val="44"/>
    <w:link w:val="24"/>
    <w:semiHidden/>
    <w:qFormat/>
    <w:uiPriority w:val="99"/>
    <w:rPr>
      <w:b/>
      <w:bCs/>
    </w:rPr>
  </w:style>
  <w:style w:type="character" w:customStyle="1" w:styleId="46">
    <w:name w:val="批注框文本 字符"/>
    <w:basedOn w:val="28"/>
    <w:link w:val="16"/>
    <w:semiHidden/>
    <w:qFormat/>
    <w:uiPriority w:val="99"/>
    <w:rPr>
      <w:sz w:val="18"/>
      <w:szCs w:val="18"/>
    </w:rPr>
  </w:style>
  <w:style w:type="paragraph" w:customStyle="1" w:styleId="47">
    <w:name w:val="TOC 标题1"/>
    <w:basedOn w:val="4"/>
    <w:next w:val="1"/>
    <w:unhideWhenUsed/>
    <w:qFormat/>
    <w:uiPriority w:val="39"/>
    <w:pPr>
      <w:spacing w:before="240" w:after="0" w:line="259" w:lineRule="auto"/>
      <w:jc w:val="left"/>
      <w:outlineLvl w:val="9"/>
    </w:pPr>
    <w:rPr>
      <w:b w:val="0"/>
      <w:bCs w:val="0"/>
      <w:color w:val="C59B00" w:themeColor="accent1" w:themeShade="BF"/>
      <w:sz w:val="32"/>
      <w:szCs w:val="32"/>
    </w:rPr>
  </w:style>
  <w:style w:type="paragraph" w:customStyle="1" w:styleId="48">
    <w:name w:val="0"/>
    <w:basedOn w:val="1"/>
    <w:qFormat/>
    <w:uiPriority w:val="0"/>
    <w:pPr>
      <w:snapToGrid w:val="0"/>
    </w:pPr>
    <w:rPr>
      <w:rFonts w:ascii="Times New Roman" w:hAnsi="Times New Roman" w:eastAsia="仿宋_GB2312" w:cs="Times New Roman"/>
      <w:sz w:val="32"/>
      <w:szCs w:val="21"/>
    </w:rPr>
  </w:style>
  <w:style w:type="paragraph" w:customStyle="1" w:styleId="49">
    <w:name w:val="YL表头"/>
    <w:basedOn w:val="13"/>
    <w:link w:val="51"/>
    <w:qFormat/>
    <w:uiPriority w:val="0"/>
    <w:pPr>
      <w:spacing w:beforeLines="30" w:afterLines="20"/>
      <w:jc w:val="center"/>
    </w:pPr>
    <w:rPr>
      <w:rFonts w:ascii="Cambria" w:hAnsi="Cambria" w:eastAsia="宋体" w:cs="Times New Roman"/>
      <w:b w:val="0"/>
      <w:sz w:val="21"/>
    </w:rPr>
  </w:style>
  <w:style w:type="paragraph" w:customStyle="1" w:styleId="50">
    <w:name w:val="YL图内容"/>
    <w:basedOn w:val="1"/>
    <w:link w:val="52"/>
    <w:qFormat/>
    <w:uiPriority w:val="0"/>
    <w:pPr>
      <w:spacing w:line="264" w:lineRule="auto"/>
      <w:jc w:val="center"/>
    </w:pPr>
    <w:rPr>
      <w:rFonts w:ascii="仿宋" w:hAnsi="仿宋" w:eastAsia="宋体" w:cs="Times New Roman"/>
      <w:color w:val="000000"/>
      <w:szCs w:val="24"/>
    </w:rPr>
  </w:style>
  <w:style w:type="character" w:customStyle="1" w:styleId="51">
    <w:name w:val="YL表头 Char"/>
    <w:basedOn w:val="28"/>
    <w:link w:val="49"/>
    <w:qFormat/>
    <w:uiPriority w:val="0"/>
    <w:rPr>
      <w:rFonts w:ascii="Cambria" w:hAnsi="Cambria" w:eastAsia="宋体" w:cs="Times New Roman"/>
      <w:b/>
      <w:szCs w:val="20"/>
    </w:rPr>
  </w:style>
  <w:style w:type="character" w:customStyle="1" w:styleId="52">
    <w:name w:val="YL图内容 Char"/>
    <w:basedOn w:val="28"/>
    <w:link w:val="50"/>
    <w:qFormat/>
    <w:uiPriority w:val="0"/>
    <w:rPr>
      <w:rFonts w:ascii="仿宋" w:hAnsi="仿宋" w:eastAsia="宋体" w:cs="Times New Roman"/>
      <w:color w:val="000000"/>
      <w:szCs w:val="24"/>
    </w:rPr>
  </w:style>
  <w:style w:type="character" w:customStyle="1" w:styleId="53">
    <w:name w:val="正文文本缩进 字符"/>
    <w:basedOn w:val="28"/>
    <w:link w:val="3"/>
    <w:qFormat/>
    <w:uiPriority w:val="0"/>
    <w:rPr>
      <w:rFonts w:ascii="Times New Roman" w:hAnsi="Times New Roman" w:eastAsia="宋体" w:cs="Times New Roman"/>
      <w:szCs w:val="24"/>
    </w:rPr>
  </w:style>
  <w:style w:type="character" w:customStyle="1" w:styleId="54">
    <w:name w:val="apple-style-span"/>
    <w:basedOn w:val="28"/>
    <w:qFormat/>
    <w:uiPriority w:val="0"/>
  </w:style>
  <w:style w:type="paragraph" w:customStyle="1" w:styleId="55">
    <w:name w:val="YL正文"/>
    <w:basedOn w:val="1"/>
    <w:link w:val="56"/>
    <w:qFormat/>
    <w:uiPriority w:val="0"/>
    <w:pPr>
      <w:spacing w:line="300" w:lineRule="auto"/>
      <w:ind w:firstLine="200" w:firstLineChars="200"/>
    </w:pPr>
    <w:rPr>
      <w:rFonts w:ascii="仿宋" w:hAnsi="仿宋" w:eastAsia="宋体" w:cs="Times New Roman"/>
      <w:color w:val="000000"/>
      <w:sz w:val="24"/>
      <w:szCs w:val="24"/>
    </w:rPr>
  </w:style>
  <w:style w:type="character" w:customStyle="1" w:styleId="56">
    <w:name w:val="YL正文 Char"/>
    <w:basedOn w:val="28"/>
    <w:link w:val="55"/>
    <w:qFormat/>
    <w:uiPriority w:val="0"/>
    <w:rPr>
      <w:rFonts w:ascii="仿宋" w:hAnsi="仿宋" w:eastAsia="宋体" w:cs="Times New Roman"/>
      <w:color w:val="000000"/>
      <w:sz w:val="24"/>
      <w:szCs w:val="24"/>
    </w:rPr>
  </w:style>
  <w:style w:type="character" w:customStyle="1" w:styleId="57">
    <w:name w:val="正文文本缩进 2 字符"/>
    <w:basedOn w:val="28"/>
    <w:link w:val="15"/>
    <w:qFormat/>
    <w:uiPriority w:val="0"/>
    <w:rPr>
      <w:rFonts w:ascii="Times New Roman" w:hAnsi="Times New Roman" w:eastAsia="宋体" w:cs="Times New Roman"/>
      <w:sz w:val="28"/>
      <w:szCs w:val="24"/>
    </w:rPr>
  </w:style>
  <w:style w:type="paragraph" w:customStyle="1" w:styleId="58">
    <w:name w:val="段"/>
    <w:link w:val="59"/>
    <w:qFormat/>
    <w:uiPriority w:val="0"/>
    <w:pPr>
      <w:tabs>
        <w:tab w:val="center" w:pos="4201"/>
        <w:tab w:val="right" w:leader="dot" w:pos="9298"/>
      </w:tabs>
      <w:autoSpaceDE w:val="0"/>
      <w:autoSpaceDN w:val="0"/>
      <w:spacing w:after="160" w:line="252" w:lineRule="auto"/>
      <w:ind w:firstLine="420" w:firstLineChars="200"/>
      <w:jc w:val="both"/>
    </w:pPr>
    <w:rPr>
      <w:rFonts w:ascii="宋体" w:hAnsi="Times New Roman" w:eastAsia="宋体" w:cs="Times New Roman"/>
      <w:kern w:val="2"/>
      <w:sz w:val="22"/>
      <w:szCs w:val="22"/>
      <w:lang w:val="en-US" w:eastAsia="zh-CN" w:bidi="ar-SA"/>
    </w:rPr>
  </w:style>
  <w:style w:type="character" w:customStyle="1" w:styleId="59">
    <w:name w:val="段 Char"/>
    <w:link w:val="58"/>
    <w:qFormat/>
    <w:locked/>
    <w:uiPriority w:val="0"/>
    <w:rPr>
      <w:rFonts w:ascii="宋体" w:hAnsi="Times New Roman" w:eastAsia="宋体" w:cs="Times New Roman"/>
      <w:sz w:val="22"/>
    </w:rPr>
  </w:style>
  <w:style w:type="character" w:customStyle="1" w:styleId="60">
    <w:name w:val="章标题 Char"/>
    <w:link w:val="61"/>
    <w:qFormat/>
    <w:locked/>
    <w:uiPriority w:val="99"/>
    <w:rPr>
      <w:rFonts w:ascii="黑体" w:eastAsia="黑体"/>
      <w:sz w:val="21"/>
    </w:rPr>
  </w:style>
  <w:style w:type="paragraph" w:customStyle="1" w:styleId="61">
    <w:name w:val="章标题"/>
    <w:next w:val="1"/>
    <w:link w:val="60"/>
    <w:qFormat/>
    <w:uiPriority w:val="99"/>
    <w:pPr>
      <w:numPr>
        <w:ilvl w:val="0"/>
        <w:numId w:val="1"/>
      </w:numPr>
      <w:spacing w:beforeLines="100" w:after="160" w:afterLines="100" w:line="252" w:lineRule="auto"/>
      <w:ind w:left="142"/>
      <w:jc w:val="both"/>
      <w:outlineLvl w:val="1"/>
    </w:pPr>
    <w:rPr>
      <w:rFonts w:ascii="黑体" w:eastAsia="黑体" w:hAnsiTheme="minorHAnsi" w:cstheme="minorBidi"/>
      <w:sz w:val="21"/>
      <w:szCs w:val="22"/>
      <w:lang w:val="en-US" w:eastAsia="zh-CN" w:bidi="ar-SA"/>
    </w:rPr>
  </w:style>
  <w:style w:type="paragraph" w:customStyle="1" w:styleId="62">
    <w:name w:val="二级条标题"/>
    <w:basedOn w:val="63"/>
    <w:next w:val="1"/>
    <w:qFormat/>
    <w:uiPriority w:val="99"/>
    <w:pPr>
      <w:numPr>
        <w:ilvl w:val="2"/>
      </w:numPr>
      <w:spacing w:before="50" w:after="50"/>
      <w:ind w:left="852"/>
      <w:outlineLvl w:val="3"/>
    </w:pPr>
  </w:style>
  <w:style w:type="paragraph" w:customStyle="1" w:styleId="63">
    <w:name w:val="一级条标题"/>
    <w:next w:val="1"/>
    <w:qFormat/>
    <w:uiPriority w:val="99"/>
    <w:pPr>
      <w:numPr>
        <w:ilvl w:val="1"/>
        <w:numId w:val="1"/>
      </w:numPr>
      <w:spacing w:beforeLines="50" w:after="160" w:afterLines="50" w:line="252" w:lineRule="auto"/>
      <w:jc w:val="both"/>
      <w:outlineLvl w:val="2"/>
    </w:pPr>
    <w:rPr>
      <w:rFonts w:ascii="黑体" w:hAnsi="Times New Roman" w:eastAsia="黑体" w:cs="Times New Roman"/>
      <w:sz w:val="21"/>
      <w:szCs w:val="21"/>
      <w:lang w:val="en-US" w:eastAsia="zh-CN" w:bidi="ar-SA"/>
    </w:rPr>
  </w:style>
  <w:style w:type="character" w:customStyle="1" w:styleId="64">
    <w:name w:val="font31"/>
    <w:basedOn w:val="28"/>
    <w:qFormat/>
    <w:uiPriority w:val="0"/>
    <w:rPr>
      <w:rFonts w:hint="default" w:ascii="Times New Roman" w:hAnsi="Times New Roman" w:cs="Times New Roman"/>
      <w:color w:val="FF0000"/>
      <w:sz w:val="21"/>
      <w:szCs w:val="21"/>
      <w:u w:val="none"/>
    </w:rPr>
  </w:style>
  <w:style w:type="paragraph" w:customStyle="1" w:styleId="65">
    <w:name w:val="TOC 标题2"/>
    <w:basedOn w:val="4"/>
    <w:next w:val="1"/>
    <w:unhideWhenUsed/>
    <w:qFormat/>
    <w:uiPriority w:val="39"/>
    <w:pPr>
      <w:spacing w:before="480" w:after="0" w:line="276" w:lineRule="auto"/>
      <w:jc w:val="left"/>
      <w:outlineLvl w:val="9"/>
    </w:pPr>
    <w:rPr>
      <w:color w:val="C59B00" w:themeColor="accent1" w:themeShade="BF"/>
    </w:rPr>
  </w:style>
  <w:style w:type="paragraph" w:customStyle="1" w:styleId="66">
    <w:name w:val="Default"/>
    <w:qFormat/>
    <w:uiPriority w:val="0"/>
    <w:pPr>
      <w:widowControl w:val="0"/>
      <w:autoSpaceDE w:val="0"/>
      <w:autoSpaceDN w:val="0"/>
      <w:adjustRightInd w:val="0"/>
      <w:spacing w:after="160" w:line="252" w:lineRule="auto"/>
      <w:jc w:val="both"/>
    </w:pPr>
    <w:rPr>
      <w:rFonts w:ascii="宋体" w:eastAsia="宋体" w:cs="宋体" w:hAnsiTheme="minorHAnsi"/>
      <w:color w:val="000000"/>
      <w:sz w:val="24"/>
      <w:szCs w:val="24"/>
      <w:lang w:val="en-US" w:eastAsia="zh-CN" w:bidi="ar-SA"/>
    </w:rPr>
  </w:style>
  <w:style w:type="paragraph" w:customStyle="1" w:styleId="67">
    <w:name w:val="XN正文"/>
    <w:basedOn w:val="1"/>
    <w:qFormat/>
    <w:uiPriority w:val="99"/>
    <w:pPr>
      <w:spacing w:line="300" w:lineRule="auto"/>
      <w:ind w:firstLine="200" w:firstLineChars="200"/>
    </w:pPr>
    <w:rPr>
      <w:rFonts w:ascii="仿宋" w:hAnsi="仿宋" w:eastAsia="仿宋"/>
      <w:color w:val="000000"/>
      <w:sz w:val="24"/>
      <w:szCs w:val="24"/>
    </w:rPr>
  </w:style>
  <w:style w:type="paragraph" w:customStyle="1" w:styleId="68">
    <w:name w:val="XN图标"/>
    <w:basedOn w:val="1"/>
    <w:qFormat/>
    <w:uiPriority w:val="0"/>
    <w:pPr>
      <w:spacing w:line="264" w:lineRule="auto"/>
      <w:jc w:val="center"/>
    </w:pPr>
    <w:rPr>
      <w:rFonts w:ascii="仿宋" w:hAnsi="仿宋" w:eastAsia="仿宋"/>
      <w:color w:val="000000"/>
    </w:rPr>
  </w:style>
  <w:style w:type="paragraph" w:customStyle="1" w:styleId="69">
    <w:name w:val="List Paragraph"/>
    <w:basedOn w:val="1"/>
    <w:qFormat/>
    <w:uiPriority w:val="34"/>
    <w:pPr>
      <w:ind w:firstLine="420" w:firstLineChars="200"/>
    </w:pPr>
  </w:style>
  <w:style w:type="character" w:customStyle="1" w:styleId="70">
    <w:name w:val="标题 4 字符"/>
    <w:basedOn w:val="28"/>
    <w:link w:val="7"/>
    <w:semiHidden/>
    <w:qFormat/>
    <w:uiPriority w:val="9"/>
    <w:rPr>
      <w:rFonts w:asciiTheme="majorHAnsi" w:hAnsiTheme="majorHAnsi" w:eastAsiaTheme="majorEastAsia" w:cstheme="majorBidi"/>
      <w:i/>
      <w:iCs/>
      <w:sz w:val="24"/>
      <w:szCs w:val="24"/>
    </w:rPr>
  </w:style>
  <w:style w:type="character" w:customStyle="1" w:styleId="71">
    <w:name w:val="标题 5 字符"/>
    <w:basedOn w:val="28"/>
    <w:link w:val="8"/>
    <w:semiHidden/>
    <w:qFormat/>
    <w:uiPriority w:val="9"/>
    <w:rPr>
      <w:rFonts w:asciiTheme="majorHAnsi" w:hAnsiTheme="majorHAnsi" w:eastAsiaTheme="majorEastAsia" w:cstheme="majorBidi"/>
      <w:b/>
      <w:bCs/>
    </w:rPr>
  </w:style>
  <w:style w:type="character" w:customStyle="1" w:styleId="72">
    <w:name w:val="标题 6 字符"/>
    <w:basedOn w:val="28"/>
    <w:link w:val="9"/>
    <w:semiHidden/>
    <w:qFormat/>
    <w:uiPriority w:val="9"/>
    <w:rPr>
      <w:rFonts w:asciiTheme="majorHAnsi" w:hAnsiTheme="majorHAnsi" w:eastAsiaTheme="majorEastAsia" w:cstheme="majorBidi"/>
      <w:b/>
      <w:bCs/>
      <w:i/>
      <w:iCs/>
    </w:rPr>
  </w:style>
  <w:style w:type="character" w:customStyle="1" w:styleId="73">
    <w:name w:val="标题 7 字符"/>
    <w:basedOn w:val="28"/>
    <w:link w:val="10"/>
    <w:semiHidden/>
    <w:qFormat/>
    <w:uiPriority w:val="9"/>
    <w:rPr>
      <w:i/>
      <w:iCs/>
    </w:rPr>
  </w:style>
  <w:style w:type="character" w:customStyle="1" w:styleId="74">
    <w:name w:val="标题 8 字符"/>
    <w:basedOn w:val="28"/>
    <w:link w:val="11"/>
    <w:semiHidden/>
    <w:qFormat/>
    <w:uiPriority w:val="9"/>
    <w:rPr>
      <w:b/>
      <w:bCs/>
    </w:rPr>
  </w:style>
  <w:style w:type="character" w:customStyle="1" w:styleId="75">
    <w:name w:val="标题 9 字符"/>
    <w:basedOn w:val="28"/>
    <w:link w:val="12"/>
    <w:semiHidden/>
    <w:qFormat/>
    <w:uiPriority w:val="9"/>
    <w:rPr>
      <w:i/>
      <w:iCs/>
    </w:rPr>
  </w:style>
  <w:style w:type="character" w:customStyle="1" w:styleId="76">
    <w:name w:val="标题 字符"/>
    <w:basedOn w:val="28"/>
    <w:link w:val="23"/>
    <w:qFormat/>
    <w:uiPriority w:val="10"/>
    <w:rPr>
      <w:rFonts w:asciiTheme="majorHAnsi" w:hAnsiTheme="majorHAnsi" w:eastAsiaTheme="majorEastAsia" w:cstheme="majorBidi"/>
      <w:b/>
      <w:bCs/>
      <w:spacing w:val="-7"/>
      <w:sz w:val="48"/>
      <w:szCs w:val="48"/>
    </w:rPr>
  </w:style>
  <w:style w:type="character" w:customStyle="1" w:styleId="77">
    <w:name w:val="副标题 字符"/>
    <w:basedOn w:val="28"/>
    <w:link w:val="20"/>
    <w:qFormat/>
    <w:uiPriority w:val="11"/>
    <w:rPr>
      <w:rFonts w:asciiTheme="majorHAnsi" w:hAnsiTheme="majorHAnsi" w:eastAsiaTheme="majorEastAsia" w:cstheme="majorBidi"/>
      <w:sz w:val="24"/>
      <w:szCs w:val="24"/>
    </w:rPr>
  </w:style>
  <w:style w:type="paragraph" w:customStyle="1" w:styleId="78">
    <w:name w:val="No Spacing"/>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customStyle="1" w:styleId="79">
    <w:name w:val="Quote"/>
    <w:basedOn w:val="1"/>
    <w:next w:val="1"/>
    <w:link w:val="80"/>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80">
    <w:name w:val="引用 字符"/>
    <w:basedOn w:val="28"/>
    <w:link w:val="79"/>
    <w:qFormat/>
    <w:uiPriority w:val="29"/>
    <w:rPr>
      <w:rFonts w:asciiTheme="majorHAnsi" w:hAnsiTheme="majorHAnsi" w:eastAsiaTheme="majorEastAsia" w:cstheme="majorBidi"/>
      <w:i/>
      <w:iCs/>
      <w:sz w:val="24"/>
      <w:szCs w:val="24"/>
    </w:rPr>
  </w:style>
  <w:style w:type="paragraph" w:customStyle="1" w:styleId="81">
    <w:name w:val="Intense Quote"/>
    <w:basedOn w:val="1"/>
    <w:next w:val="1"/>
    <w:link w:val="82"/>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82">
    <w:name w:val="明显引用 字符"/>
    <w:basedOn w:val="28"/>
    <w:link w:val="81"/>
    <w:qFormat/>
    <w:uiPriority w:val="30"/>
    <w:rPr>
      <w:rFonts w:asciiTheme="majorHAnsi" w:hAnsiTheme="majorHAnsi" w:eastAsiaTheme="majorEastAsia" w:cstheme="majorBidi"/>
      <w:sz w:val="26"/>
      <w:szCs w:val="26"/>
    </w:rPr>
  </w:style>
  <w:style w:type="character" w:customStyle="1" w:styleId="83">
    <w:name w:val="Subtle Emphasis"/>
    <w:basedOn w:val="28"/>
    <w:qFormat/>
    <w:uiPriority w:val="19"/>
    <w:rPr>
      <w:i/>
      <w:iCs/>
      <w:color w:val="auto"/>
    </w:rPr>
  </w:style>
  <w:style w:type="character" w:customStyle="1" w:styleId="84">
    <w:name w:val="Intense Emphasis"/>
    <w:basedOn w:val="28"/>
    <w:qFormat/>
    <w:uiPriority w:val="21"/>
    <w:rPr>
      <w:b/>
      <w:bCs/>
      <w:i/>
      <w:iCs/>
      <w:color w:val="auto"/>
    </w:rPr>
  </w:style>
  <w:style w:type="character" w:customStyle="1" w:styleId="85">
    <w:name w:val="Subtle Reference"/>
    <w:basedOn w:val="28"/>
    <w:qFormat/>
    <w:uiPriority w:val="31"/>
    <w:rPr>
      <w:smallCaps/>
      <w:color w:val="auto"/>
      <w:u w:val="single" w:color="7E7E7E" w:themeColor="text1" w:themeTint="80"/>
    </w:rPr>
  </w:style>
  <w:style w:type="character" w:customStyle="1" w:styleId="86">
    <w:name w:val="Intense Reference"/>
    <w:basedOn w:val="28"/>
    <w:qFormat/>
    <w:uiPriority w:val="32"/>
    <w:rPr>
      <w:b/>
      <w:bCs/>
      <w:smallCaps/>
      <w:color w:val="auto"/>
      <w:u w:val="single"/>
    </w:rPr>
  </w:style>
  <w:style w:type="character" w:customStyle="1" w:styleId="87">
    <w:name w:val="Book Title"/>
    <w:basedOn w:val="28"/>
    <w:qFormat/>
    <w:uiPriority w:val="33"/>
    <w:rPr>
      <w:b/>
      <w:bCs/>
      <w:smallCaps/>
      <w:color w:val="auto"/>
    </w:rPr>
  </w:style>
  <w:style w:type="paragraph" w:customStyle="1" w:styleId="88">
    <w:name w:val="TOC Heading"/>
    <w:basedOn w:val="4"/>
    <w:next w:val="1"/>
    <w:unhideWhenUsed/>
    <w:qFormat/>
    <w:uiPriority w:val="39"/>
    <w:pPr>
      <w:outlineLvl w:val="9"/>
    </w:pPr>
  </w:style>
  <w:style w:type="paragraph" w:customStyle="1" w:styleId="89">
    <w:name w:val="正文文本1"/>
    <w:basedOn w:val="1"/>
    <w:qFormat/>
    <w:uiPriority w:val="0"/>
    <w:pPr>
      <w:shd w:val="clear" w:color="auto" w:fill="FFFFFF"/>
      <w:spacing w:after="180" w:line="0" w:lineRule="atLeast"/>
      <w:ind w:hanging="1860"/>
      <w:jc w:val="center"/>
    </w:pPr>
    <w:rPr>
      <w:rFonts w:ascii="宋体" w:hAnsi="宋体" w:cs="宋体"/>
      <w:kern w:val="0"/>
      <w:sz w:val="20"/>
      <w:szCs w:val="20"/>
    </w:rPr>
  </w:style>
  <w:style w:type="character" w:customStyle="1" w:styleId="90">
    <w:name w:val="正文文本 + MS Gothic"/>
    <w:qFormat/>
    <w:uiPriority w:val="0"/>
    <w:rPr>
      <w:rFonts w:ascii="MS Gothic" w:hAnsi="MS Gothic" w:eastAsia="MS Gothic" w:cs="MS Gothic"/>
      <w:color w:val="000000"/>
      <w:spacing w:val="0"/>
      <w:w w:val="100"/>
      <w:position w:val="0"/>
      <w:sz w:val="21"/>
      <w:szCs w:val="21"/>
      <w:u w:val="none"/>
      <w:lang w:val="en-US"/>
    </w:rPr>
  </w:style>
  <w:style w:type="paragraph" w:customStyle="1" w:styleId="91">
    <w:name w:val="正文2"/>
    <w:basedOn w:val="1"/>
    <w:qFormat/>
    <w:uiPriority w:val="0"/>
    <w:pPr>
      <w:adjustRightInd w:val="0"/>
      <w:spacing w:line="360" w:lineRule="auto"/>
      <w:ind w:firstLine="480" w:firstLineChars="200"/>
    </w:pPr>
    <w:rPr>
      <w:rFonts w:ascii="宋体" w:hAnsi="宋体"/>
      <w:color w:val="00000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平面">
  <a:themeElements>
    <a:clrScheme name="黄色">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平面">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平面">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Manager>Abu设计</Manager>
  <Company>Abu设计</Company>
  <Pages>24</Pages>
  <Words>1976</Words>
  <Characters>11267</Characters>
  <Lines>93</Lines>
  <Paragraphs>26</Paragraphs>
  <TotalTime>0</TotalTime>
  <ScaleCrop>false</ScaleCrop>
  <LinksUpToDate>false</LinksUpToDate>
  <CharactersWithSpaces>13217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2019-11-23T22:44:00Z</dcterms:created>
  <dc:creator>熊猫达人</dc:creator>
  <dc:description>更多Abu设计的信纸请访问
http://chn.docer.com/works?userid=415014680
谢谢支持</dc:description>
  <cp:keywords>信纸 信笺背景</cp:keywords>
  <cp:lastModifiedBy>。。。</cp:lastModifiedBy>
  <cp:lastPrinted>2017-06-15T19:08:00Z</cp:lastPrinted>
  <dcterms:modified xsi:type="dcterms:W3CDTF">2024-04-19T01:05:43Z</dcterms:modified>
  <dc:subject>信纸</dc:subject>
  <dc:title>信纸-Abu设计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6E1050FC13DA49A595EF12491B636BFA</vt:lpwstr>
  </property>
</Properties>
</file>